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01D6" w14:textId="77777777" w:rsidR="002C5BC3" w:rsidRDefault="002C5BC3" w:rsidP="00A16941">
      <w:pPr>
        <w:spacing w:line="360" w:lineRule="exact"/>
      </w:pPr>
    </w:p>
    <w:p w14:paraId="31E21EFF" w14:textId="77777777" w:rsidR="002C5BC3" w:rsidRPr="002C5BC3" w:rsidRDefault="002C5BC3" w:rsidP="002C5BC3">
      <w:pPr>
        <w:jc w:val="center"/>
        <w:rPr>
          <w:rFonts w:ascii="標楷體" w:eastAsia="標楷體" w:hAnsi="標楷體"/>
          <w:color w:val="000000"/>
          <w:sz w:val="32"/>
        </w:rPr>
      </w:pPr>
      <w:r w:rsidRPr="002C5BC3">
        <w:rPr>
          <w:rFonts w:ascii="標楷體" w:eastAsia="標楷體" w:hAnsi="標楷體" w:hint="eastAsia"/>
          <w:color w:val="000000"/>
          <w:sz w:val="32"/>
        </w:rPr>
        <w:t>東海大學社會科學學院教師升等審查要點</w:t>
      </w:r>
    </w:p>
    <w:p w14:paraId="4ACBF594" w14:textId="77777777" w:rsidR="002C5BC3" w:rsidRPr="002C5BC3" w:rsidRDefault="002C5BC3" w:rsidP="002C5BC3">
      <w:pPr>
        <w:rPr>
          <w:rFonts w:ascii="標楷體" w:eastAsia="標楷體" w:hAnsi="標楷體"/>
          <w:color w:val="000000"/>
          <w:sz w:val="20"/>
        </w:rPr>
      </w:pPr>
      <w:r w:rsidRPr="002C5BC3">
        <w:rPr>
          <w:rFonts w:ascii="標楷體" w:eastAsia="標楷體" w:hAnsi="標楷體" w:hint="eastAsia"/>
          <w:color w:val="000000"/>
        </w:rPr>
        <w:t xml:space="preserve">                              </w:t>
      </w:r>
      <w:r w:rsidRPr="002C5BC3">
        <w:rPr>
          <w:rFonts w:ascii="標楷體" w:eastAsia="標楷體" w:hAnsi="標楷體" w:cs="標楷體" w:hint="eastAsia"/>
          <w:color w:val="000000"/>
        </w:rPr>
        <w:t>  </w:t>
      </w:r>
      <w:r w:rsidR="00E815BE">
        <w:rPr>
          <w:rFonts w:ascii="標楷體" w:eastAsia="標楷體" w:hAnsi="標楷體" w:cs="標楷體" w:hint="eastAsia"/>
          <w:color w:val="000000"/>
        </w:rPr>
        <w:t xml:space="preserve">           </w:t>
      </w:r>
      <w:r w:rsidRPr="002C5BC3">
        <w:rPr>
          <w:rFonts w:ascii="標楷體" w:eastAsia="標楷體" w:hAnsi="標楷體" w:cs="標楷體" w:hint="eastAsia"/>
          <w:color w:val="000000"/>
        </w:rPr>
        <w:t xml:space="preserve"> </w:t>
      </w:r>
      <w:r w:rsidRPr="002C5BC3">
        <w:rPr>
          <w:rFonts w:ascii="標楷體" w:eastAsia="標楷體" w:hAnsi="標楷體" w:hint="eastAsia"/>
          <w:color w:val="000000"/>
        </w:rPr>
        <w:t xml:space="preserve"> </w:t>
      </w:r>
      <w:r w:rsidRPr="002C5BC3">
        <w:rPr>
          <w:rFonts w:ascii="標楷體" w:eastAsia="標楷體" w:hAnsi="標楷體" w:hint="eastAsia"/>
          <w:color w:val="000000"/>
          <w:sz w:val="20"/>
        </w:rPr>
        <w:t>八十七年五月二十七日院教評會通過</w:t>
      </w:r>
    </w:p>
    <w:p w14:paraId="0D98F98C" w14:textId="77777777" w:rsidR="002C5BC3" w:rsidRPr="002C5BC3" w:rsidRDefault="002C5BC3" w:rsidP="002C5BC3">
      <w:pPr>
        <w:rPr>
          <w:rFonts w:ascii="標楷體" w:eastAsia="標楷體" w:hAnsi="標楷體"/>
          <w:color w:val="000000"/>
          <w:sz w:val="20"/>
        </w:rPr>
      </w:pPr>
      <w:r w:rsidRPr="002C5BC3">
        <w:rPr>
          <w:rFonts w:ascii="標楷體" w:eastAsia="標楷體" w:hAnsi="標楷體" w:hint="eastAsia"/>
          <w:color w:val="000000"/>
          <w:sz w:val="20"/>
        </w:rPr>
        <w:t xml:space="preserve">                                </w:t>
      </w:r>
      <w:r w:rsidRPr="002C5BC3">
        <w:rPr>
          <w:rFonts w:ascii="標楷體" w:eastAsia="標楷體" w:hAnsi="標楷體" w:cs="標楷體" w:hint="eastAsia"/>
          <w:color w:val="000000"/>
          <w:sz w:val="20"/>
        </w:rPr>
        <w:t xml:space="preserve">     </w:t>
      </w:r>
      <w:r w:rsidR="00E815BE">
        <w:rPr>
          <w:rFonts w:ascii="標楷體" w:eastAsia="標楷體" w:hAnsi="標楷體" w:cs="標楷體" w:hint="eastAsia"/>
          <w:color w:val="000000"/>
          <w:sz w:val="20"/>
        </w:rPr>
        <w:t xml:space="preserve">          </w:t>
      </w:r>
      <w:r w:rsidRPr="002C5BC3">
        <w:rPr>
          <w:rFonts w:ascii="標楷體" w:eastAsia="標楷體" w:hAnsi="標楷體" w:cs="標楷體" w:hint="eastAsia"/>
          <w:color w:val="000000"/>
          <w:sz w:val="20"/>
        </w:rPr>
        <w:t xml:space="preserve"> </w:t>
      </w:r>
      <w:r w:rsidR="00E815BE">
        <w:rPr>
          <w:rFonts w:ascii="標楷體" w:eastAsia="標楷體" w:hAnsi="標楷體" w:cs="標楷體" w:hint="eastAsia"/>
          <w:color w:val="000000"/>
          <w:sz w:val="20"/>
        </w:rPr>
        <w:t xml:space="preserve">   </w:t>
      </w:r>
      <w:r w:rsidRPr="002C5BC3">
        <w:rPr>
          <w:rFonts w:ascii="標楷體" w:eastAsia="標楷體" w:hAnsi="標楷體" w:hint="eastAsia"/>
          <w:color w:val="000000"/>
          <w:sz w:val="20"/>
        </w:rPr>
        <w:t>八十七年九月二十一日校教評會核備</w:t>
      </w:r>
    </w:p>
    <w:p w14:paraId="40AA2DFA" w14:textId="77777777" w:rsidR="002C5BC3" w:rsidRPr="002C5BC3" w:rsidRDefault="002C5BC3" w:rsidP="002C5BC3">
      <w:pPr>
        <w:rPr>
          <w:rFonts w:ascii="標楷體" w:eastAsia="標楷體" w:hAnsi="標楷體"/>
          <w:color w:val="000000"/>
          <w:sz w:val="20"/>
        </w:rPr>
      </w:pPr>
      <w:r w:rsidRPr="002C5BC3">
        <w:rPr>
          <w:rFonts w:ascii="標楷體" w:eastAsia="標楷體" w:hAnsi="標楷體" w:hint="eastAsia"/>
          <w:color w:val="000000"/>
          <w:sz w:val="20"/>
        </w:rPr>
        <w:t xml:space="preserve">                                </w:t>
      </w:r>
      <w:r w:rsidRPr="002C5BC3">
        <w:rPr>
          <w:rFonts w:ascii="標楷體" w:eastAsia="標楷體" w:hAnsi="標楷體" w:cs="標楷體" w:hint="eastAsia"/>
          <w:color w:val="000000"/>
          <w:sz w:val="20"/>
        </w:rPr>
        <w:t xml:space="preserve">      </w:t>
      </w:r>
      <w:r w:rsidR="00E815BE">
        <w:rPr>
          <w:rFonts w:ascii="標楷體" w:eastAsia="標楷體" w:hAnsi="標楷體" w:cs="標楷體" w:hint="eastAsia"/>
          <w:color w:val="000000"/>
          <w:sz w:val="20"/>
        </w:rPr>
        <w:t xml:space="preserve">             </w:t>
      </w:r>
      <w:r w:rsidRPr="002C5BC3">
        <w:rPr>
          <w:rFonts w:ascii="標楷體" w:eastAsia="標楷體" w:hAnsi="標楷體" w:hint="eastAsia"/>
          <w:color w:val="000000"/>
          <w:sz w:val="20"/>
        </w:rPr>
        <w:t>九十二年六月五日院教評會修訂</w:t>
      </w:r>
    </w:p>
    <w:p w14:paraId="5BB2998C" w14:textId="77777777" w:rsidR="002C5BC3" w:rsidRPr="002C5BC3" w:rsidRDefault="002C5BC3" w:rsidP="002C5BC3">
      <w:pPr>
        <w:rPr>
          <w:rFonts w:ascii="標楷體" w:eastAsia="標楷體" w:hAnsi="標楷體" w:cs="標楷體"/>
          <w:color w:val="000000"/>
          <w:sz w:val="20"/>
        </w:rPr>
      </w:pPr>
      <w:r w:rsidRPr="002C5BC3">
        <w:rPr>
          <w:rFonts w:ascii="標楷體" w:eastAsia="標楷體" w:hAnsi="標楷體" w:hint="eastAsia"/>
          <w:color w:val="000000"/>
          <w:sz w:val="20"/>
        </w:rPr>
        <w:t xml:space="preserve">                              </w:t>
      </w:r>
      <w:r w:rsidRPr="002C5BC3">
        <w:rPr>
          <w:rFonts w:ascii="標楷體" w:eastAsia="標楷體" w:hAnsi="標楷體" w:cs="標楷體" w:hint="eastAsia"/>
          <w:color w:val="000000"/>
          <w:sz w:val="20"/>
        </w:rPr>
        <w:t xml:space="preserve">     </w:t>
      </w:r>
      <w:r w:rsidRPr="002C5BC3">
        <w:rPr>
          <w:rFonts w:ascii="標楷體" w:eastAsia="標楷體" w:hAnsi="標楷體" w:hint="eastAsia"/>
          <w:color w:val="000000"/>
          <w:sz w:val="20"/>
        </w:rPr>
        <w:t xml:space="preserve">   </w:t>
      </w:r>
      <w:r w:rsidR="00E815BE">
        <w:rPr>
          <w:rFonts w:ascii="標楷體" w:eastAsia="標楷體" w:hAnsi="標楷體" w:hint="eastAsia"/>
          <w:color w:val="000000"/>
          <w:sz w:val="20"/>
        </w:rPr>
        <w:t xml:space="preserve">             </w:t>
      </w:r>
      <w:r w:rsidRPr="002C5BC3">
        <w:rPr>
          <w:rFonts w:ascii="標楷體" w:eastAsia="標楷體" w:hAnsi="標楷體" w:hint="eastAsia"/>
          <w:color w:val="000000"/>
          <w:sz w:val="20"/>
        </w:rPr>
        <w:t>九十二年十一月十四日校教評會核備</w:t>
      </w:r>
      <w:r w:rsidRPr="002C5BC3">
        <w:rPr>
          <w:rFonts w:ascii="標楷體" w:eastAsia="標楷體" w:hAnsi="標楷體" w:cs="標楷體" w:hint="eastAsia"/>
          <w:color w:val="000000"/>
          <w:sz w:val="20"/>
        </w:rPr>
        <w:t xml:space="preserve">  </w:t>
      </w:r>
    </w:p>
    <w:p w14:paraId="6DB985DE"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一○一年三月一日院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01519914"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一○二年元月三日院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326A3875" w14:textId="77777777" w:rsidR="002C5BC3" w:rsidRPr="002C5BC3" w:rsidRDefault="00E815BE" w:rsidP="002C5BC3">
      <w:pPr>
        <w:ind w:firstLineChars="2300" w:firstLine="4600"/>
        <w:rPr>
          <w:rFonts w:ascii="標楷體" w:eastAsia="標楷體" w:hAnsi="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一○二年三月四日</w:t>
      </w:r>
      <w:r w:rsidR="002C5BC3" w:rsidRPr="002C5BC3">
        <w:rPr>
          <w:rFonts w:ascii="標楷體" w:eastAsia="標楷體" w:hAnsi="標楷體" w:hint="eastAsia"/>
          <w:color w:val="000000"/>
          <w:sz w:val="20"/>
        </w:rPr>
        <w:t>校教評會通過</w:t>
      </w:r>
    </w:p>
    <w:p w14:paraId="3004B015"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一○四年十二月二十九日院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3EE3D0DC" w14:textId="77777777" w:rsidR="002C5BC3" w:rsidRPr="002C5BC3" w:rsidRDefault="00E815BE" w:rsidP="002C5BC3">
      <w:pPr>
        <w:ind w:firstLineChars="2300" w:firstLine="4600"/>
        <w:rPr>
          <w:rFonts w:ascii="標楷體" w:eastAsia="標楷體" w:hAnsi="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一○五年二月十八日</w:t>
      </w:r>
      <w:r w:rsidR="002C5BC3" w:rsidRPr="002C5BC3">
        <w:rPr>
          <w:rFonts w:ascii="標楷體" w:eastAsia="標楷體" w:hAnsi="標楷體" w:hint="eastAsia"/>
          <w:color w:val="000000"/>
          <w:sz w:val="20"/>
        </w:rPr>
        <w:t>校教評會通過</w:t>
      </w:r>
    </w:p>
    <w:p w14:paraId="44D06518"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一○五年九月二十九日院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09C331B9" w14:textId="77777777" w:rsidR="002C5BC3" w:rsidRPr="002C5BC3" w:rsidRDefault="00E815BE" w:rsidP="002C5BC3">
      <w:pPr>
        <w:ind w:firstLineChars="2300" w:firstLine="4600"/>
        <w:rPr>
          <w:rFonts w:ascii="標楷體" w:eastAsia="標楷體" w:hAnsi="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一○五年十一月十一日</w:t>
      </w:r>
      <w:r w:rsidR="002C5BC3" w:rsidRPr="002C5BC3">
        <w:rPr>
          <w:rFonts w:ascii="標楷體" w:eastAsia="標楷體" w:hAnsi="標楷體" w:hint="eastAsia"/>
          <w:color w:val="000000"/>
          <w:sz w:val="20"/>
        </w:rPr>
        <w:t>校教評會通過</w:t>
      </w:r>
    </w:p>
    <w:p w14:paraId="20573E2E"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一○六年九月二十六日院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4DF9387C"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一○六年十月三日校教評會通過</w:t>
      </w:r>
    </w:p>
    <w:p w14:paraId="6CF8DBB7"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一一一年十二月二十九日院教評會修訂</w:t>
      </w:r>
    </w:p>
    <w:p w14:paraId="2211E030" w14:textId="77777777" w:rsidR="002C5BC3" w:rsidRP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一一二年元月四日院</w:t>
      </w:r>
      <w:proofErr w:type="gramStart"/>
      <w:r w:rsidR="002C5BC3" w:rsidRPr="002C5BC3">
        <w:rPr>
          <w:rFonts w:ascii="標楷體" w:eastAsia="標楷體" w:hAnsi="標楷體" w:cs="標楷體" w:hint="eastAsia"/>
          <w:color w:val="000000"/>
          <w:sz w:val="20"/>
        </w:rPr>
        <w:t>務</w:t>
      </w:r>
      <w:proofErr w:type="gramEnd"/>
      <w:r w:rsidR="002C5BC3" w:rsidRPr="002C5BC3">
        <w:rPr>
          <w:rFonts w:ascii="標楷體" w:eastAsia="標楷體" w:hAnsi="標楷體" w:cs="標楷體" w:hint="eastAsia"/>
          <w:color w:val="000000"/>
          <w:sz w:val="20"/>
        </w:rPr>
        <w:t>會議修正通過</w:t>
      </w:r>
    </w:p>
    <w:p w14:paraId="22D249B6" w14:textId="77777777" w:rsidR="002C5BC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2C5BC3" w:rsidRPr="002C5BC3">
        <w:rPr>
          <w:rFonts w:ascii="標楷體" w:eastAsia="標楷體" w:hAnsi="標楷體" w:cs="標楷體" w:hint="eastAsia"/>
          <w:color w:val="000000"/>
          <w:sz w:val="20"/>
        </w:rPr>
        <w:t>一一二年元月十二日校教評會通過</w:t>
      </w:r>
    </w:p>
    <w:p w14:paraId="78628E66" w14:textId="77777777" w:rsidR="00A847F6"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A847F6">
        <w:rPr>
          <w:rFonts w:ascii="標楷體" w:eastAsia="標楷體" w:hAnsi="標楷體" w:cs="標楷體" w:hint="eastAsia"/>
          <w:color w:val="000000"/>
          <w:sz w:val="20"/>
        </w:rPr>
        <w:t>一一三年元月四日院教評會修訂</w:t>
      </w:r>
    </w:p>
    <w:p w14:paraId="77FDE39A" w14:textId="77777777" w:rsidR="00EB6CC9"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EB6CC9">
        <w:rPr>
          <w:rFonts w:ascii="標楷體" w:eastAsia="標楷體" w:hAnsi="標楷體" w:cs="標楷體" w:hint="eastAsia"/>
          <w:color w:val="000000"/>
          <w:sz w:val="20"/>
        </w:rPr>
        <w:t>一一三</w:t>
      </w:r>
      <w:r w:rsidR="00EB6CC9" w:rsidRPr="00EB6CC9">
        <w:rPr>
          <w:rFonts w:ascii="標楷體" w:eastAsia="標楷體" w:hAnsi="標楷體" w:cs="標楷體" w:hint="eastAsia"/>
          <w:color w:val="000000"/>
          <w:sz w:val="20"/>
        </w:rPr>
        <w:t>年</w:t>
      </w:r>
      <w:r w:rsidR="00EB6CC9">
        <w:rPr>
          <w:rFonts w:ascii="標楷體" w:eastAsia="標楷體" w:hAnsi="標楷體" w:cs="標楷體" w:hint="eastAsia"/>
          <w:color w:val="000000"/>
          <w:sz w:val="20"/>
        </w:rPr>
        <w:t>元</w:t>
      </w:r>
      <w:r w:rsidR="00EB6CC9" w:rsidRPr="00EB6CC9">
        <w:rPr>
          <w:rFonts w:ascii="標楷體" w:eastAsia="標楷體" w:hAnsi="標楷體" w:cs="標楷體" w:hint="eastAsia"/>
          <w:color w:val="000000"/>
          <w:sz w:val="20"/>
        </w:rPr>
        <w:t>月</w:t>
      </w:r>
      <w:r w:rsidR="00EB6CC9">
        <w:rPr>
          <w:rFonts w:ascii="標楷體" w:eastAsia="標楷體" w:hAnsi="標楷體" w:cs="標楷體" w:hint="eastAsia"/>
          <w:color w:val="000000"/>
          <w:sz w:val="20"/>
        </w:rPr>
        <w:t>五</w:t>
      </w:r>
      <w:r w:rsidR="00EB6CC9" w:rsidRPr="00EB6CC9">
        <w:rPr>
          <w:rFonts w:ascii="標楷體" w:eastAsia="標楷體" w:hAnsi="標楷體" w:cs="標楷體" w:hint="eastAsia"/>
          <w:color w:val="000000"/>
          <w:sz w:val="20"/>
        </w:rPr>
        <w:t>日院</w:t>
      </w:r>
      <w:proofErr w:type="gramStart"/>
      <w:r w:rsidR="00EB6CC9" w:rsidRPr="00EB6CC9">
        <w:rPr>
          <w:rFonts w:ascii="標楷體" w:eastAsia="標楷體" w:hAnsi="標楷體" w:cs="標楷體" w:hint="eastAsia"/>
          <w:color w:val="000000"/>
          <w:sz w:val="20"/>
        </w:rPr>
        <w:t>務</w:t>
      </w:r>
      <w:proofErr w:type="gramEnd"/>
      <w:r w:rsidR="00EB6CC9" w:rsidRPr="00EB6CC9">
        <w:rPr>
          <w:rFonts w:ascii="標楷體" w:eastAsia="標楷體" w:hAnsi="標楷體" w:cs="標楷體" w:hint="eastAsia"/>
          <w:color w:val="000000"/>
          <w:sz w:val="20"/>
        </w:rPr>
        <w:t>會議修正通過</w:t>
      </w:r>
    </w:p>
    <w:p w14:paraId="62117138" w14:textId="77777777" w:rsidR="00541193"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w:t>
      </w:r>
      <w:r w:rsidR="00541193">
        <w:rPr>
          <w:rFonts w:ascii="標楷體" w:eastAsia="標楷體" w:hAnsi="標楷體" w:cs="標楷體" w:hint="eastAsia"/>
          <w:color w:val="000000"/>
          <w:sz w:val="20"/>
        </w:rPr>
        <w:t>一一三年元月九日校教評會通過</w:t>
      </w:r>
    </w:p>
    <w:p w14:paraId="52316F4C" w14:textId="77777777" w:rsidR="00E815BE" w:rsidRDefault="00E815BE"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w:t>
      </w:r>
      <w:r w:rsidR="00251C21">
        <w:rPr>
          <w:rFonts w:ascii="標楷體" w:eastAsia="標楷體" w:hAnsi="標楷體" w:cs="標楷體" w:hint="eastAsia"/>
          <w:color w:val="000000"/>
          <w:sz w:val="20"/>
        </w:rPr>
        <w:t xml:space="preserve">   </w:t>
      </w:r>
      <w:r>
        <w:rPr>
          <w:rFonts w:ascii="標楷體" w:eastAsia="標楷體" w:hAnsi="標楷體" w:cs="標楷體" w:hint="eastAsia"/>
          <w:color w:val="000000"/>
          <w:sz w:val="20"/>
        </w:rPr>
        <w:t xml:space="preserve">  一一三年十二月</w:t>
      </w:r>
      <w:r w:rsidR="00B6580A">
        <w:rPr>
          <w:rFonts w:ascii="標楷體" w:eastAsia="標楷體" w:hAnsi="標楷體" w:cs="標楷體" w:hint="eastAsia"/>
          <w:color w:val="000000"/>
          <w:sz w:val="20"/>
        </w:rPr>
        <w:t>十</w:t>
      </w:r>
      <w:r>
        <w:rPr>
          <w:rFonts w:ascii="標楷體" w:eastAsia="標楷體" w:hAnsi="標楷體" w:cs="標楷體" w:hint="eastAsia"/>
          <w:color w:val="000000"/>
          <w:sz w:val="20"/>
        </w:rPr>
        <w:t>九日院教評會修訂</w:t>
      </w:r>
    </w:p>
    <w:p w14:paraId="4D879D69" w14:textId="77777777" w:rsidR="005931DB" w:rsidRDefault="005931DB"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一一三年十二月二十四日院</w:t>
      </w:r>
      <w:proofErr w:type="gramStart"/>
      <w:r>
        <w:rPr>
          <w:rFonts w:ascii="標楷體" w:eastAsia="標楷體" w:hAnsi="標楷體" w:cs="標楷體" w:hint="eastAsia"/>
          <w:color w:val="000000"/>
          <w:sz w:val="20"/>
        </w:rPr>
        <w:t>務</w:t>
      </w:r>
      <w:proofErr w:type="gramEnd"/>
      <w:r>
        <w:rPr>
          <w:rFonts w:ascii="標楷體" w:eastAsia="標楷體" w:hAnsi="標楷體" w:cs="標楷體" w:hint="eastAsia"/>
          <w:color w:val="000000"/>
          <w:sz w:val="20"/>
        </w:rPr>
        <w:t>會議通過</w:t>
      </w:r>
    </w:p>
    <w:p w14:paraId="66AEA713" w14:textId="77777777" w:rsidR="009E6DF4" w:rsidRDefault="009E6DF4" w:rsidP="002C5BC3">
      <w:pPr>
        <w:ind w:firstLineChars="2300" w:firstLine="4600"/>
        <w:rPr>
          <w:rFonts w:ascii="標楷體" w:eastAsia="標楷體" w:hAnsi="標楷體" w:cs="標楷體"/>
          <w:color w:val="000000"/>
          <w:sz w:val="20"/>
        </w:rPr>
      </w:pPr>
      <w:r>
        <w:rPr>
          <w:rFonts w:ascii="標楷體" w:eastAsia="標楷體" w:hAnsi="標楷體" w:cs="標楷體" w:hint="eastAsia"/>
          <w:color w:val="000000"/>
          <w:sz w:val="20"/>
        </w:rPr>
        <w:t xml:space="preserve">             一一四年元月九日校教評會通過</w:t>
      </w:r>
    </w:p>
    <w:p w14:paraId="554C6D40" w14:textId="77777777" w:rsidR="007854F1" w:rsidRPr="00360370" w:rsidRDefault="007854F1" w:rsidP="002C5BC3">
      <w:pPr>
        <w:ind w:firstLineChars="2300" w:firstLine="4600"/>
        <w:rPr>
          <w:rFonts w:ascii="標楷體" w:eastAsia="標楷體" w:hAnsi="標楷體" w:cs="標楷體"/>
          <w:color w:val="000000" w:themeColor="text1"/>
          <w:sz w:val="20"/>
        </w:rPr>
      </w:pPr>
      <w:r>
        <w:rPr>
          <w:rFonts w:ascii="標楷體" w:eastAsia="標楷體" w:hAnsi="標楷體" w:cs="標楷體" w:hint="eastAsia"/>
          <w:color w:val="000000"/>
          <w:sz w:val="20"/>
        </w:rPr>
        <w:t xml:space="preserve">             </w:t>
      </w:r>
      <w:r w:rsidRPr="00360370">
        <w:rPr>
          <w:rFonts w:ascii="標楷體" w:eastAsia="標楷體" w:hAnsi="標楷體" w:cs="標楷體" w:hint="eastAsia"/>
          <w:color w:val="000000" w:themeColor="text1"/>
          <w:sz w:val="20"/>
        </w:rPr>
        <w:t>一一四年十二月十六日院教評會修訂</w:t>
      </w:r>
    </w:p>
    <w:p w14:paraId="700818EC" w14:textId="77777777" w:rsidR="00D624E1" w:rsidRPr="00121011" w:rsidRDefault="00D624E1" w:rsidP="002C5BC3">
      <w:pPr>
        <w:ind w:firstLineChars="2300" w:firstLine="4600"/>
        <w:rPr>
          <w:rFonts w:ascii="標楷體" w:eastAsia="標楷體" w:hAnsi="標楷體" w:cs="標楷體"/>
          <w:color w:val="000000" w:themeColor="text1"/>
          <w:sz w:val="20"/>
        </w:rPr>
      </w:pPr>
      <w:r w:rsidRPr="00360370">
        <w:rPr>
          <w:rFonts w:ascii="標楷體" w:eastAsia="標楷體" w:hAnsi="標楷體" w:cs="標楷體" w:hint="eastAsia"/>
          <w:color w:val="000000" w:themeColor="text1"/>
          <w:sz w:val="20"/>
        </w:rPr>
        <w:t xml:space="preserve">     </w:t>
      </w:r>
      <w:r w:rsidRPr="00121011">
        <w:rPr>
          <w:rFonts w:ascii="標楷體" w:eastAsia="標楷體" w:hAnsi="標楷體" w:cs="標楷體" w:hint="eastAsia"/>
          <w:color w:val="000000" w:themeColor="text1"/>
          <w:sz w:val="20"/>
        </w:rPr>
        <w:t xml:space="preserve">        </w:t>
      </w:r>
      <w:r w:rsidR="00223CA2" w:rsidRPr="00121011">
        <w:rPr>
          <w:rFonts w:ascii="標楷體" w:eastAsia="標楷體" w:hAnsi="標楷體" w:cs="標楷體" w:hint="eastAsia"/>
          <w:color w:val="000000" w:themeColor="text1"/>
          <w:sz w:val="20"/>
        </w:rPr>
        <w:t>一一五</w:t>
      </w:r>
      <w:r w:rsidRPr="00121011">
        <w:rPr>
          <w:rFonts w:ascii="標楷體" w:eastAsia="標楷體" w:hAnsi="標楷體" w:cs="標楷體" w:hint="eastAsia"/>
          <w:color w:val="000000" w:themeColor="text1"/>
          <w:sz w:val="20"/>
        </w:rPr>
        <w:t>年一月十九日院</w:t>
      </w:r>
      <w:proofErr w:type="gramStart"/>
      <w:r w:rsidRPr="00121011">
        <w:rPr>
          <w:rFonts w:ascii="標楷體" w:eastAsia="標楷體" w:hAnsi="標楷體" w:cs="標楷體" w:hint="eastAsia"/>
          <w:color w:val="000000" w:themeColor="text1"/>
          <w:sz w:val="20"/>
        </w:rPr>
        <w:t>務</w:t>
      </w:r>
      <w:proofErr w:type="gramEnd"/>
      <w:r w:rsidRPr="00121011">
        <w:rPr>
          <w:rFonts w:ascii="標楷體" w:eastAsia="標楷體" w:hAnsi="標楷體" w:cs="標楷體" w:hint="eastAsia"/>
          <w:color w:val="000000" w:themeColor="text1"/>
          <w:sz w:val="20"/>
        </w:rPr>
        <w:t>會議通過</w:t>
      </w:r>
    </w:p>
    <w:p w14:paraId="228EC2C6" w14:textId="4C9D9C89" w:rsidR="006F706D" w:rsidRPr="00121011" w:rsidRDefault="006F706D" w:rsidP="002C5BC3">
      <w:pPr>
        <w:ind w:firstLineChars="2300" w:firstLine="4600"/>
        <w:rPr>
          <w:rFonts w:ascii="標楷體" w:eastAsia="標楷體" w:hAnsi="標楷體" w:cs="標楷體" w:hint="eastAsia"/>
          <w:color w:val="000000" w:themeColor="text1"/>
          <w:sz w:val="20"/>
        </w:rPr>
      </w:pPr>
      <w:r w:rsidRPr="00121011">
        <w:rPr>
          <w:rFonts w:ascii="標楷體" w:eastAsia="標楷體" w:hAnsi="標楷體" w:cs="標楷體" w:hint="eastAsia"/>
          <w:color w:val="000000" w:themeColor="text1"/>
          <w:sz w:val="20"/>
        </w:rPr>
        <w:t xml:space="preserve">             一一五年一月二十八日</w:t>
      </w:r>
      <w:r w:rsidRPr="00121011">
        <w:rPr>
          <w:rFonts w:ascii="標楷體" w:eastAsia="標楷體" w:hAnsi="標楷體" w:cs="標楷體" w:hint="eastAsia"/>
          <w:color w:val="000000" w:themeColor="text1"/>
          <w:sz w:val="20"/>
        </w:rPr>
        <w:t>校教評會通過</w:t>
      </w:r>
    </w:p>
    <w:p w14:paraId="01B10C6D" w14:textId="77777777" w:rsidR="002C5BC3" w:rsidRPr="00121011" w:rsidRDefault="002C5BC3" w:rsidP="002C5BC3">
      <w:pPr>
        <w:ind w:left="960" w:hangingChars="400" w:hanging="960"/>
        <w:rPr>
          <w:rFonts w:ascii="標楷體" w:eastAsia="標楷體" w:hAnsi="標楷體"/>
          <w:color w:val="000000" w:themeColor="text1"/>
        </w:rPr>
      </w:pPr>
      <w:r w:rsidRPr="00121011">
        <w:rPr>
          <w:rFonts w:ascii="標楷體" w:eastAsia="標楷體" w:hAnsi="標楷體" w:hint="eastAsia"/>
          <w:color w:val="000000" w:themeColor="text1"/>
        </w:rPr>
        <w:t>第一條  本院教師升等審查要點(以下簡稱本要點)，係依據本校教師升等實施辦法第五條第一項第二款之規定訂定之。</w:t>
      </w:r>
    </w:p>
    <w:p w14:paraId="00365A4A" w14:textId="77777777" w:rsidR="002C5BC3" w:rsidRPr="00121011" w:rsidRDefault="002C5BC3" w:rsidP="002C5BC3">
      <w:pPr>
        <w:ind w:left="960" w:hangingChars="400" w:hanging="960"/>
        <w:rPr>
          <w:rFonts w:ascii="標楷體" w:eastAsia="標楷體" w:hAnsi="標楷體"/>
          <w:color w:val="000000" w:themeColor="text1"/>
        </w:rPr>
      </w:pPr>
      <w:r w:rsidRPr="00121011">
        <w:rPr>
          <w:rFonts w:ascii="標楷體" w:eastAsia="標楷體" w:hAnsi="標楷體" w:hint="eastAsia"/>
          <w:color w:val="000000" w:themeColor="text1"/>
        </w:rPr>
        <w:t>第二條 本院教師升等委員會由院級教師評審委員會（以下簡稱院教評會）委員組成，但委員不得參與高於本身職等之教師升等審查。</w:t>
      </w:r>
    </w:p>
    <w:p w14:paraId="40326E33" w14:textId="77777777" w:rsidR="0023097F" w:rsidRPr="00121011" w:rsidRDefault="002C5BC3" w:rsidP="002C5BC3">
      <w:pPr>
        <w:rPr>
          <w:rFonts w:ascii="標楷體" w:eastAsia="標楷體" w:hAnsi="標楷體"/>
          <w:color w:val="000000" w:themeColor="text1"/>
        </w:rPr>
      </w:pPr>
      <w:r w:rsidRPr="00121011">
        <w:rPr>
          <w:rFonts w:ascii="標楷體" w:eastAsia="標楷體" w:hAnsi="標楷體" w:hint="eastAsia"/>
          <w:color w:val="000000" w:themeColor="text1"/>
        </w:rPr>
        <w:t>第三條 本院教師升等須符合本校教師升等實施辦法之各項規定，並檢附相關資料，於規定期限內送</w:t>
      </w:r>
    </w:p>
    <w:p w14:paraId="69BA7688" w14:textId="77777777" w:rsidR="002C5BC3" w:rsidRPr="00121011" w:rsidRDefault="002C5BC3" w:rsidP="0023097F">
      <w:pPr>
        <w:ind w:firstLineChars="400" w:firstLine="960"/>
        <w:rPr>
          <w:rFonts w:ascii="標楷體" w:eastAsia="標楷體" w:hAnsi="標楷體"/>
          <w:color w:val="000000" w:themeColor="text1"/>
        </w:rPr>
      </w:pPr>
      <w:r w:rsidRPr="00121011">
        <w:rPr>
          <w:rFonts w:ascii="標楷體" w:eastAsia="標楷體" w:hAnsi="標楷體" w:hint="eastAsia"/>
          <w:color w:val="000000" w:themeColor="text1"/>
        </w:rPr>
        <w:t>交院長室。</w:t>
      </w:r>
    </w:p>
    <w:p w14:paraId="31623173" w14:textId="77777777" w:rsidR="002C5BC3" w:rsidRPr="00121011" w:rsidRDefault="002C5BC3" w:rsidP="002C5BC3">
      <w:pPr>
        <w:ind w:left="960" w:hangingChars="400" w:hanging="960"/>
        <w:rPr>
          <w:rFonts w:ascii="標楷體" w:eastAsia="標楷體" w:hAnsi="標楷體"/>
          <w:color w:val="000000" w:themeColor="text1"/>
        </w:rPr>
      </w:pPr>
      <w:r w:rsidRPr="00121011">
        <w:rPr>
          <w:rFonts w:ascii="標楷體" w:eastAsia="標楷體" w:hAnsi="標楷體" w:hint="eastAsia"/>
          <w:color w:val="000000" w:themeColor="text1"/>
        </w:rPr>
        <w:t>第四條 八十六年三月二十一日之前已取得講師資格之現職人員,如繼續任教而未中斷者，得以著作或博士學位論文送審，</w:t>
      </w:r>
      <w:proofErr w:type="gramStart"/>
      <w:r w:rsidRPr="00121011">
        <w:rPr>
          <w:rFonts w:ascii="標楷體" w:eastAsia="標楷體" w:hAnsi="標楷體" w:hint="eastAsia"/>
          <w:color w:val="000000" w:themeColor="text1"/>
        </w:rPr>
        <w:t>逕</w:t>
      </w:r>
      <w:proofErr w:type="gramEnd"/>
      <w:r w:rsidRPr="00121011">
        <w:rPr>
          <w:rFonts w:ascii="標楷體" w:eastAsia="標楷體" w:hAnsi="標楷體" w:hint="eastAsia"/>
          <w:color w:val="000000" w:themeColor="text1"/>
        </w:rPr>
        <w:t>申請升等副教授。</w:t>
      </w:r>
    </w:p>
    <w:p w14:paraId="1F0FCDCA" w14:textId="77777777" w:rsidR="002C5BC3" w:rsidRPr="00121011" w:rsidRDefault="002C5BC3" w:rsidP="002C5BC3">
      <w:pPr>
        <w:rPr>
          <w:rFonts w:ascii="標楷體" w:eastAsia="標楷體" w:hAnsi="標楷體"/>
          <w:color w:val="000000" w:themeColor="text1"/>
        </w:rPr>
      </w:pPr>
      <w:r w:rsidRPr="00121011">
        <w:rPr>
          <w:rFonts w:ascii="標楷體" w:eastAsia="標楷體" w:hAnsi="標楷體" w:hint="eastAsia"/>
          <w:color w:val="000000" w:themeColor="text1"/>
        </w:rPr>
        <w:t>第五條 申請升助理教授、副教授與教授之研究項目評審標準如下：</w:t>
      </w:r>
    </w:p>
    <w:p w14:paraId="3C567D06" w14:textId="77777777" w:rsidR="002C5BC3" w:rsidRPr="00121011" w:rsidRDefault="002C5BC3" w:rsidP="002C5BC3">
      <w:pPr>
        <w:snapToGrid w:val="0"/>
        <w:ind w:leftChars="335" w:left="1284" w:hangingChars="200" w:hanging="480"/>
        <w:rPr>
          <w:rFonts w:ascii="標楷體" w:eastAsia="標楷體" w:hAnsi="標楷體"/>
          <w:color w:val="000000" w:themeColor="text1"/>
        </w:rPr>
      </w:pPr>
      <w:r w:rsidRPr="00121011">
        <w:rPr>
          <w:rFonts w:ascii="標楷體" w:eastAsia="標楷體" w:hAnsi="標楷體" w:hint="eastAsia"/>
          <w:color w:val="000000" w:themeColor="text1"/>
        </w:rPr>
        <w:t>一、申請晉升教授或副教授、助理教授所提報之學術著作，若代表作為合著，申請人需為第一作者或通訊作者。</w:t>
      </w:r>
    </w:p>
    <w:p w14:paraId="5D072353" w14:textId="77777777" w:rsidR="002C5BC3" w:rsidRPr="00121011" w:rsidRDefault="002C5BC3" w:rsidP="002C5BC3">
      <w:pPr>
        <w:snapToGrid w:val="0"/>
        <w:ind w:leftChars="350" w:left="1320" w:hangingChars="200" w:hanging="480"/>
        <w:rPr>
          <w:rFonts w:ascii="標楷體" w:eastAsia="標楷體" w:hAnsi="標楷體"/>
          <w:color w:val="000000" w:themeColor="text1"/>
        </w:rPr>
      </w:pPr>
      <w:r w:rsidRPr="00121011">
        <w:rPr>
          <w:rFonts w:ascii="標楷體" w:eastAsia="標楷體" w:hAnsi="標楷體" w:hint="eastAsia"/>
          <w:color w:val="000000" w:themeColor="text1"/>
        </w:rPr>
        <w:t>二、學術論文以刊登於有匿名評審制度之學術期刊為主。論文之分類標準如下：</w:t>
      </w:r>
    </w:p>
    <w:p w14:paraId="75E30050" w14:textId="77777777" w:rsidR="002C5BC3" w:rsidRPr="00121011" w:rsidRDefault="002C5BC3" w:rsidP="002C5BC3">
      <w:pPr>
        <w:snapToGrid w:val="0"/>
        <w:ind w:leftChars="350" w:left="1320" w:hangingChars="200" w:hanging="480"/>
        <w:rPr>
          <w:rFonts w:ascii="標楷體" w:eastAsia="標楷體" w:hAnsi="標楷體"/>
          <w:color w:val="000000" w:themeColor="text1"/>
        </w:rPr>
      </w:pPr>
      <w:r w:rsidRPr="00121011">
        <w:rPr>
          <w:rFonts w:ascii="標楷體" w:eastAsia="標楷體" w:hAnsi="標楷體"/>
          <w:color w:val="000000" w:themeColor="text1"/>
        </w:rPr>
        <w:t>(</w:t>
      </w:r>
      <w:proofErr w:type="gramStart"/>
      <w:r w:rsidRPr="00121011">
        <w:rPr>
          <w:rFonts w:ascii="標楷體" w:eastAsia="標楷體" w:hAnsi="標楷體" w:hint="eastAsia"/>
          <w:color w:val="000000" w:themeColor="text1"/>
        </w:rPr>
        <w:t>一</w:t>
      </w:r>
      <w:proofErr w:type="gramEnd"/>
      <w:r w:rsidRPr="00121011">
        <w:rPr>
          <w:rFonts w:ascii="標楷體" w:eastAsia="標楷體" w:hAnsi="標楷體"/>
          <w:color w:val="000000" w:themeColor="text1"/>
        </w:rPr>
        <w:t>)</w:t>
      </w:r>
      <w:r w:rsidRPr="00121011">
        <w:rPr>
          <w:rFonts w:ascii="標楷體" w:eastAsia="標楷體" w:hAnsi="標楷體"/>
          <w:color w:val="000000" w:themeColor="text1"/>
          <w:sz w:val="14"/>
          <w:szCs w:val="14"/>
        </w:rPr>
        <w:t xml:space="preserve"> </w:t>
      </w:r>
      <w:r w:rsidRPr="00121011">
        <w:rPr>
          <w:rFonts w:ascii="標楷體" w:eastAsia="標楷體" w:hAnsi="標楷體" w:hint="eastAsia"/>
          <w:color w:val="000000" w:themeColor="text1"/>
        </w:rPr>
        <w:t>SSCI或其他相關類別索引收錄之期刊論文，由各系</w:t>
      </w:r>
      <w:proofErr w:type="gramStart"/>
      <w:r w:rsidRPr="00121011">
        <w:rPr>
          <w:rFonts w:ascii="標楷體" w:eastAsia="標楷體" w:hAnsi="標楷體" w:hint="eastAsia"/>
          <w:color w:val="000000" w:themeColor="text1"/>
        </w:rPr>
        <w:t>系</w:t>
      </w:r>
      <w:proofErr w:type="gramEnd"/>
      <w:r w:rsidRPr="00121011">
        <w:rPr>
          <w:rFonts w:ascii="標楷體" w:eastAsia="標楷體" w:hAnsi="標楷體" w:hint="eastAsia"/>
          <w:color w:val="000000" w:themeColor="text1"/>
        </w:rPr>
        <w:t>（所）</w:t>
      </w:r>
      <w:proofErr w:type="gramStart"/>
      <w:r w:rsidRPr="00121011">
        <w:rPr>
          <w:rFonts w:ascii="標楷體" w:eastAsia="標楷體" w:hAnsi="標楷體" w:hint="eastAsia"/>
          <w:color w:val="000000" w:themeColor="text1"/>
        </w:rPr>
        <w:t>務</w:t>
      </w:r>
      <w:proofErr w:type="gramEnd"/>
      <w:r w:rsidRPr="00121011">
        <w:rPr>
          <w:rFonts w:ascii="標楷體" w:eastAsia="標楷體" w:hAnsi="標楷體" w:hint="eastAsia"/>
          <w:color w:val="000000" w:themeColor="text1"/>
        </w:rPr>
        <w:t>會議參照SSCI標準認定，但每篇上限為70分。</w:t>
      </w:r>
    </w:p>
    <w:p w14:paraId="2090031D" w14:textId="77777777" w:rsidR="002C5BC3" w:rsidRPr="00121011" w:rsidRDefault="002C5BC3" w:rsidP="002C5BC3">
      <w:pPr>
        <w:snapToGrid w:val="0"/>
        <w:ind w:leftChars="350" w:left="1320" w:hangingChars="200" w:hanging="480"/>
        <w:rPr>
          <w:rFonts w:ascii="標楷體" w:eastAsia="標楷體" w:hAnsi="標楷體"/>
          <w:color w:val="000000" w:themeColor="text1"/>
        </w:rPr>
      </w:pPr>
      <w:r w:rsidRPr="00121011">
        <w:rPr>
          <w:rFonts w:ascii="標楷體" w:eastAsia="標楷體" w:hAnsi="標楷體"/>
          <w:color w:val="000000" w:themeColor="text1"/>
        </w:rPr>
        <w:t>(</w:t>
      </w:r>
      <w:r w:rsidRPr="00121011">
        <w:rPr>
          <w:rFonts w:ascii="標楷體" w:eastAsia="標楷體" w:hAnsi="標楷體" w:hint="eastAsia"/>
          <w:color w:val="000000" w:themeColor="text1"/>
        </w:rPr>
        <w:t>二</w:t>
      </w:r>
      <w:r w:rsidRPr="00121011">
        <w:rPr>
          <w:rFonts w:ascii="標楷體" w:eastAsia="標楷體" w:hAnsi="標楷體"/>
          <w:color w:val="000000" w:themeColor="text1"/>
        </w:rPr>
        <w:t>)</w:t>
      </w:r>
      <w:r w:rsidRPr="00121011">
        <w:rPr>
          <w:rFonts w:ascii="標楷體" w:eastAsia="標楷體" w:hAnsi="標楷體" w:hint="eastAsia"/>
          <w:color w:val="000000" w:themeColor="text1"/>
        </w:rPr>
        <w:t>TSSCI或等同類別之期刊，由各系</w:t>
      </w:r>
      <w:proofErr w:type="gramStart"/>
      <w:r w:rsidRPr="00121011">
        <w:rPr>
          <w:rFonts w:ascii="標楷體" w:eastAsia="標楷體" w:hAnsi="標楷體" w:hint="eastAsia"/>
          <w:color w:val="000000" w:themeColor="text1"/>
        </w:rPr>
        <w:t>系</w:t>
      </w:r>
      <w:proofErr w:type="gramEnd"/>
      <w:r w:rsidRPr="00121011">
        <w:rPr>
          <w:rFonts w:ascii="標楷體" w:eastAsia="標楷體" w:hAnsi="標楷體" w:hint="eastAsia"/>
          <w:color w:val="000000" w:themeColor="text1"/>
        </w:rPr>
        <w:t>（所）</w:t>
      </w:r>
      <w:proofErr w:type="gramStart"/>
      <w:r w:rsidRPr="00121011">
        <w:rPr>
          <w:rFonts w:ascii="標楷體" w:eastAsia="標楷體" w:hAnsi="標楷體" w:hint="eastAsia"/>
          <w:color w:val="000000" w:themeColor="text1"/>
        </w:rPr>
        <w:t>務</w:t>
      </w:r>
      <w:proofErr w:type="gramEnd"/>
      <w:r w:rsidRPr="00121011">
        <w:rPr>
          <w:rFonts w:ascii="標楷體" w:eastAsia="標楷體" w:hAnsi="標楷體" w:hint="eastAsia"/>
          <w:color w:val="000000" w:themeColor="text1"/>
        </w:rPr>
        <w:t>會議參照TSSCI等級標準認定，每篇上限為30分。</w:t>
      </w:r>
    </w:p>
    <w:p w14:paraId="4FD4215D" w14:textId="77777777" w:rsidR="002C5BC3" w:rsidRPr="00121011" w:rsidRDefault="002C5BC3" w:rsidP="002C5BC3">
      <w:pPr>
        <w:snapToGrid w:val="0"/>
        <w:ind w:leftChars="350" w:left="1320" w:hangingChars="200" w:hanging="480"/>
        <w:rPr>
          <w:rFonts w:ascii="標楷體" w:eastAsia="標楷體" w:hAnsi="標楷體"/>
          <w:color w:val="000000" w:themeColor="text1"/>
        </w:rPr>
      </w:pPr>
      <w:r w:rsidRPr="00121011">
        <w:rPr>
          <w:rFonts w:ascii="標楷體" w:eastAsia="標楷體" w:hAnsi="標楷體"/>
          <w:color w:val="000000" w:themeColor="text1"/>
        </w:rPr>
        <w:lastRenderedPageBreak/>
        <w:t>(</w:t>
      </w:r>
      <w:r w:rsidRPr="00121011">
        <w:rPr>
          <w:rFonts w:ascii="標楷體" w:eastAsia="標楷體" w:hAnsi="標楷體" w:hint="eastAsia"/>
          <w:color w:val="000000" w:themeColor="text1"/>
        </w:rPr>
        <w:t>三</w:t>
      </w:r>
      <w:r w:rsidRPr="00121011">
        <w:rPr>
          <w:rFonts w:ascii="標楷體" w:eastAsia="標楷體" w:hAnsi="標楷體"/>
          <w:color w:val="000000" w:themeColor="text1"/>
        </w:rPr>
        <w:t>)</w:t>
      </w:r>
      <w:r w:rsidRPr="00121011">
        <w:rPr>
          <w:rFonts w:ascii="標楷體" w:eastAsia="標楷體" w:hAnsi="標楷體" w:hint="eastAsia"/>
          <w:color w:val="000000" w:themeColor="text1"/>
        </w:rPr>
        <w:t>其他期刊及專書論文（book chapter）之標準，由各系</w:t>
      </w:r>
      <w:proofErr w:type="gramStart"/>
      <w:r w:rsidRPr="00121011">
        <w:rPr>
          <w:rFonts w:ascii="標楷體" w:eastAsia="標楷體" w:hAnsi="標楷體" w:hint="eastAsia"/>
          <w:color w:val="000000" w:themeColor="text1"/>
        </w:rPr>
        <w:t>系</w:t>
      </w:r>
      <w:proofErr w:type="gramEnd"/>
      <w:r w:rsidRPr="00121011">
        <w:rPr>
          <w:rFonts w:ascii="標楷體" w:eastAsia="標楷體" w:hAnsi="標楷體" w:hint="eastAsia"/>
          <w:color w:val="000000" w:themeColor="text1"/>
        </w:rPr>
        <w:t>（所）</w:t>
      </w:r>
      <w:proofErr w:type="gramStart"/>
      <w:r w:rsidRPr="00121011">
        <w:rPr>
          <w:rFonts w:ascii="標楷體" w:eastAsia="標楷體" w:hAnsi="標楷體" w:hint="eastAsia"/>
          <w:color w:val="000000" w:themeColor="text1"/>
        </w:rPr>
        <w:t>務</w:t>
      </w:r>
      <w:proofErr w:type="gramEnd"/>
      <w:r w:rsidRPr="00121011">
        <w:rPr>
          <w:rFonts w:ascii="標楷體" w:eastAsia="標楷體" w:hAnsi="標楷體" w:hint="eastAsia"/>
          <w:color w:val="000000" w:themeColor="text1"/>
        </w:rPr>
        <w:t>會議認定，但每篇分數上限為15分。</w:t>
      </w:r>
    </w:p>
    <w:p w14:paraId="1810BE9C" w14:textId="77777777" w:rsidR="002C5BC3" w:rsidRPr="00121011" w:rsidRDefault="002C5BC3" w:rsidP="002C5BC3">
      <w:pPr>
        <w:snapToGrid w:val="0"/>
        <w:ind w:leftChars="350" w:left="1320" w:hangingChars="200" w:hanging="480"/>
        <w:rPr>
          <w:rFonts w:ascii="標楷體" w:eastAsia="標楷體" w:hAnsi="標楷體"/>
          <w:color w:val="000000" w:themeColor="text1"/>
        </w:rPr>
      </w:pPr>
      <w:r w:rsidRPr="00121011">
        <w:rPr>
          <w:rFonts w:ascii="標楷體" w:eastAsia="標楷體" w:hAnsi="標楷體" w:hint="eastAsia"/>
          <w:color w:val="000000" w:themeColor="text1"/>
        </w:rPr>
        <w:t>(四)上述認定標準與相關細則，</w:t>
      </w:r>
      <w:proofErr w:type="gramStart"/>
      <w:r w:rsidRPr="00121011">
        <w:rPr>
          <w:rFonts w:ascii="標楷體" w:eastAsia="標楷體" w:hAnsi="標楷體" w:hint="eastAsia"/>
          <w:color w:val="000000" w:themeColor="text1"/>
        </w:rPr>
        <w:t>請於系</w:t>
      </w:r>
      <w:proofErr w:type="gramEnd"/>
      <w:r w:rsidRPr="00121011">
        <w:rPr>
          <w:rFonts w:ascii="標楷體" w:eastAsia="標楷體" w:hAnsi="標楷體" w:hint="eastAsia"/>
          <w:color w:val="000000" w:themeColor="text1"/>
        </w:rPr>
        <w:t>(所)</w:t>
      </w:r>
      <w:proofErr w:type="gramStart"/>
      <w:r w:rsidRPr="00121011">
        <w:rPr>
          <w:rFonts w:ascii="標楷體" w:eastAsia="標楷體" w:hAnsi="標楷體" w:hint="eastAsia"/>
          <w:color w:val="000000" w:themeColor="text1"/>
        </w:rPr>
        <w:t>務</w:t>
      </w:r>
      <w:proofErr w:type="gramEnd"/>
      <w:r w:rsidRPr="00121011">
        <w:rPr>
          <w:rFonts w:ascii="標楷體" w:eastAsia="標楷體" w:hAnsi="標楷體" w:hint="eastAsia"/>
          <w:color w:val="000000" w:themeColor="text1"/>
        </w:rPr>
        <w:t>會議討論，</w:t>
      </w:r>
      <w:proofErr w:type="gramStart"/>
      <w:r w:rsidRPr="00121011">
        <w:rPr>
          <w:rFonts w:ascii="標楷體" w:eastAsia="標楷體" w:hAnsi="標楷體" w:hint="eastAsia"/>
          <w:color w:val="000000" w:themeColor="text1"/>
        </w:rPr>
        <w:t>增訂於系</w:t>
      </w:r>
      <w:proofErr w:type="gramEnd"/>
      <w:r w:rsidRPr="00121011">
        <w:rPr>
          <w:rFonts w:ascii="標楷體" w:eastAsia="標楷體" w:hAnsi="標楷體" w:hint="eastAsia"/>
          <w:color w:val="000000" w:themeColor="text1"/>
        </w:rPr>
        <w:t>(所)升等審查要點。</w:t>
      </w:r>
    </w:p>
    <w:p w14:paraId="556D27A2" w14:textId="77777777" w:rsidR="002C5BC3" w:rsidRPr="00121011" w:rsidRDefault="002C5BC3" w:rsidP="002C5BC3">
      <w:pPr>
        <w:spacing w:line="360" w:lineRule="exact"/>
        <w:ind w:leftChars="350" w:left="1320" w:hangingChars="200" w:hanging="480"/>
        <w:rPr>
          <w:rFonts w:ascii="標楷體" w:eastAsia="標楷體" w:hAnsi="標楷體"/>
          <w:color w:val="000000" w:themeColor="text1"/>
        </w:rPr>
      </w:pPr>
      <w:r w:rsidRPr="00121011">
        <w:rPr>
          <w:rFonts w:ascii="標楷體" w:eastAsia="標楷體" w:hAnsi="標楷體" w:hint="eastAsia"/>
          <w:color w:val="000000" w:themeColor="text1"/>
        </w:rPr>
        <w:t>三、</w:t>
      </w:r>
      <w:r w:rsidRPr="00121011">
        <w:rPr>
          <w:rFonts w:ascii="標楷體" w:eastAsia="標楷體" w:hAnsi="標楷體" w:cs="新細明體"/>
          <w:color w:val="000000" w:themeColor="text1"/>
          <w:kern w:val="0"/>
          <w:szCs w:val="24"/>
        </w:rPr>
        <w:t>以專書(monograph)為代表著作提出升等申請，專書</w:t>
      </w:r>
      <w:r w:rsidRPr="00121011">
        <w:rPr>
          <w:rFonts w:ascii="標楷體" w:eastAsia="標楷體" w:hAnsi="標楷體" w:cs="新細明體" w:hint="eastAsia"/>
          <w:color w:val="000000" w:themeColor="text1"/>
          <w:kern w:val="0"/>
          <w:szCs w:val="24"/>
        </w:rPr>
        <w:t>經國科會或國內外大學或專業機構審查出版，或榮獲相關學術獎項（</w:t>
      </w:r>
      <w:proofErr w:type="gramStart"/>
      <w:r w:rsidRPr="00121011">
        <w:rPr>
          <w:rFonts w:ascii="標楷體" w:eastAsia="標楷體" w:hAnsi="標楷體" w:cs="新細明體" w:hint="eastAsia"/>
          <w:color w:val="000000" w:themeColor="text1"/>
          <w:kern w:val="0"/>
          <w:szCs w:val="24"/>
        </w:rPr>
        <w:t>勵</w:t>
      </w:r>
      <w:proofErr w:type="gramEnd"/>
      <w:r w:rsidRPr="00121011">
        <w:rPr>
          <w:rFonts w:ascii="標楷體" w:eastAsia="標楷體" w:hAnsi="標楷體" w:cs="新細明體" w:hint="eastAsia"/>
          <w:color w:val="000000" w:themeColor="text1"/>
          <w:kern w:val="0"/>
          <w:szCs w:val="24"/>
        </w:rPr>
        <w:t>）者</w:t>
      </w:r>
      <w:r w:rsidRPr="00121011">
        <w:rPr>
          <w:rFonts w:ascii="標楷體" w:eastAsia="標楷體" w:hAnsi="標楷體" w:cs="新細明體"/>
          <w:color w:val="000000" w:themeColor="text1"/>
          <w:kern w:val="0"/>
          <w:szCs w:val="24"/>
        </w:rPr>
        <w:t>，十萬字以上，每本書70分，六萬字以上，每本書</w:t>
      </w:r>
      <w:r w:rsidRPr="00121011">
        <w:rPr>
          <w:rFonts w:ascii="標楷體" w:eastAsia="標楷體" w:hAnsi="標楷體" w:cs="新細明體" w:hint="eastAsia"/>
          <w:color w:val="000000" w:themeColor="text1"/>
          <w:kern w:val="0"/>
          <w:szCs w:val="24"/>
        </w:rPr>
        <w:t>5</w:t>
      </w:r>
      <w:r w:rsidRPr="00121011">
        <w:rPr>
          <w:rFonts w:ascii="標楷體" w:eastAsia="標楷體" w:hAnsi="標楷體" w:cs="新細明體"/>
          <w:color w:val="000000" w:themeColor="text1"/>
          <w:kern w:val="0"/>
          <w:szCs w:val="24"/>
        </w:rPr>
        <w:t>0分；其餘出版社編輯委員會送審通過者，十萬字以上，每本書</w:t>
      </w:r>
      <w:r w:rsidRPr="00121011">
        <w:rPr>
          <w:rFonts w:ascii="標楷體" w:eastAsia="標楷體" w:hAnsi="標楷體" w:cs="新細明體" w:hint="eastAsia"/>
          <w:color w:val="000000" w:themeColor="text1"/>
          <w:kern w:val="0"/>
          <w:szCs w:val="24"/>
        </w:rPr>
        <w:t>5</w:t>
      </w:r>
      <w:r w:rsidRPr="00121011">
        <w:rPr>
          <w:rFonts w:ascii="標楷體" w:eastAsia="標楷體" w:hAnsi="標楷體" w:cs="新細明體"/>
          <w:color w:val="000000" w:themeColor="text1"/>
          <w:kern w:val="0"/>
          <w:szCs w:val="24"/>
        </w:rPr>
        <w:t>0分，六萬字以上，每本書</w:t>
      </w:r>
      <w:r w:rsidRPr="00121011">
        <w:rPr>
          <w:rFonts w:ascii="標楷體" w:eastAsia="標楷體" w:hAnsi="標楷體" w:cs="新細明體" w:hint="eastAsia"/>
          <w:color w:val="000000" w:themeColor="text1"/>
          <w:kern w:val="0"/>
          <w:szCs w:val="24"/>
        </w:rPr>
        <w:t>3</w:t>
      </w:r>
      <w:r w:rsidRPr="00121011">
        <w:rPr>
          <w:rFonts w:ascii="標楷體" w:eastAsia="標楷體" w:hAnsi="標楷體" w:cs="新細明體"/>
          <w:color w:val="000000" w:themeColor="text1"/>
          <w:kern w:val="0"/>
          <w:szCs w:val="24"/>
        </w:rPr>
        <w:t>0分。</w:t>
      </w:r>
      <w:r w:rsidRPr="00121011">
        <w:rPr>
          <w:rFonts w:ascii="標楷體" w:eastAsia="標楷體" w:hAnsi="標楷體" w:cs="新細明體" w:hint="eastAsia"/>
          <w:color w:val="000000" w:themeColor="text1"/>
          <w:kern w:val="0"/>
          <w:szCs w:val="24"/>
        </w:rPr>
        <w:t>如為外文著作，另加10分。</w:t>
      </w:r>
    </w:p>
    <w:p w14:paraId="57965E32" w14:textId="77777777" w:rsidR="002C5BC3" w:rsidRPr="00121011" w:rsidRDefault="002C5BC3" w:rsidP="002C5BC3">
      <w:pPr>
        <w:snapToGrid w:val="0"/>
        <w:ind w:firstLineChars="350" w:firstLine="840"/>
        <w:rPr>
          <w:rFonts w:ascii="標楷體" w:eastAsia="標楷體" w:hAnsi="標楷體"/>
          <w:color w:val="000000" w:themeColor="text1"/>
        </w:rPr>
      </w:pPr>
      <w:r w:rsidRPr="00121011">
        <w:rPr>
          <w:rFonts w:ascii="標楷體" w:eastAsia="標楷體" w:hAnsi="標楷體" w:hint="eastAsia"/>
          <w:color w:val="000000" w:themeColor="text1"/>
        </w:rPr>
        <w:t>四、論文或專書若為合著者，</w:t>
      </w:r>
      <w:r w:rsidRPr="00121011">
        <w:rPr>
          <w:rFonts w:ascii="標楷體" w:eastAsia="標楷體" w:hAnsi="標楷體"/>
          <w:color w:val="000000" w:themeColor="text1"/>
        </w:rPr>
        <w:t xml:space="preserve">各作者之得分依下列公式計算： </w:t>
      </w:r>
      <w:r w:rsidRPr="00121011">
        <w:rPr>
          <w:rFonts w:ascii="標楷體" w:eastAsia="標楷體" w:hAnsi="標楷體"/>
          <w:color w:val="000000" w:themeColor="text1"/>
        </w:rPr>
        <w:br/>
        <w:t xml:space="preserve">　　</w:t>
      </w:r>
      <w:r w:rsidRPr="00121011">
        <w:rPr>
          <w:rFonts w:ascii="標楷體" w:eastAsia="標楷體" w:hAnsi="標楷體" w:hint="eastAsia"/>
          <w:color w:val="000000" w:themeColor="text1"/>
        </w:rPr>
        <w:t xml:space="preserve">  </w:t>
      </w:r>
      <w:r w:rsidRPr="00121011">
        <w:rPr>
          <w:rFonts w:ascii="標楷體" w:eastAsia="標楷體" w:hAnsi="標楷體"/>
          <w:color w:val="000000" w:themeColor="text1"/>
        </w:rPr>
        <w:t>(</w:t>
      </w:r>
      <w:proofErr w:type="gramStart"/>
      <w:r w:rsidRPr="00121011">
        <w:rPr>
          <w:rFonts w:ascii="標楷體" w:eastAsia="標楷體" w:hAnsi="標楷體" w:hint="eastAsia"/>
          <w:color w:val="000000" w:themeColor="text1"/>
        </w:rPr>
        <w:t>一</w:t>
      </w:r>
      <w:proofErr w:type="gramEnd"/>
      <w:r w:rsidRPr="00121011">
        <w:rPr>
          <w:rFonts w:ascii="標楷體" w:eastAsia="標楷體" w:hAnsi="標楷體"/>
          <w:color w:val="000000" w:themeColor="text1"/>
        </w:rPr>
        <w:t>) 第一作者：（作者僅一人之得分 / 作者人數</w:t>
      </w:r>
      <w:r w:rsidRPr="00121011">
        <w:rPr>
          <w:rFonts w:ascii="標楷體" w:eastAsia="標楷體" w:hAnsi="標楷體" w:hint="eastAsia"/>
          <w:color w:val="000000" w:themeColor="text1"/>
        </w:rPr>
        <w:t>）</w:t>
      </w:r>
      <w:r w:rsidRPr="00121011">
        <w:rPr>
          <w:rFonts w:ascii="標楷體" w:eastAsia="標楷體" w:hAnsi="標楷體"/>
          <w:color w:val="000000" w:themeColor="text1"/>
        </w:rPr>
        <w:t xml:space="preserve">×1.5 </w:t>
      </w:r>
      <w:r w:rsidRPr="00121011">
        <w:rPr>
          <w:rFonts w:ascii="標楷體" w:eastAsia="標楷體" w:hAnsi="標楷體"/>
          <w:color w:val="000000" w:themeColor="text1"/>
        </w:rPr>
        <w:br/>
        <w:t xml:space="preserve">　　</w:t>
      </w:r>
      <w:r w:rsidRPr="00121011">
        <w:rPr>
          <w:rFonts w:ascii="標楷體" w:eastAsia="標楷體" w:hAnsi="標楷體" w:hint="eastAsia"/>
          <w:color w:val="000000" w:themeColor="text1"/>
        </w:rPr>
        <w:t xml:space="preserve">  </w:t>
      </w:r>
      <w:r w:rsidRPr="00121011">
        <w:rPr>
          <w:rFonts w:ascii="標楷體" w:eastAsia="標楷體" w:hAnsi="標楷體"/>
          <w:color w:val="000000" w:themeColor="text1"/>
        </w:rPr>
        <w:t>(</w:t>
      </w:r>
      <w:r w:rsidRPr="00121011">
        <w:rPr>
          <w:rFonts w:ascii="標楷體" w:eastAsia="標楷體" w:hAnsi="標楷體" w:hint="eastAsia"/>
          <w:color w:val="000000" w:themeColor="text1"/>
        </w:rPr>
        <w:t>二</w:t>
      </w:r>
      <w:r w:rsidRPr="00121011">
        <w:rPr>
          <w:rFonts w:ascii="標楷體" w:eastAsia="標楷體" w:hAnsi="標楷體"/>
          <w:color w:val="000000" w:themeColor="text1"/>
        </w:rPr>
        <w:t>) 其他作者：（作者僅一人之得分 / 作者人數</w:t>
      </w:r>
      <w:r w:rsidRPr="00121011">
        <w:rPr>
          <w:rFonts w:ascii="標楷體" w:eastAsia="標楷體" w:hAnsi="標楷體" w:hint="eastAsia"/>
          <w:color w:val="000000" w:themeColor="text1"/>
        </w:rPr>
        <w:t>）</w:t>
      </w:r>
      <w:r w:rsidRPr="00121011">
        <w:rPr>
          <w:rFonts w:ascii="標楷體" w:eastAsia="標楷體" w:hAnsi="標楷體"/>
          <w:color w:val="000000" w:themeColor="text1"/>
        </w:rPr>
        <w:t xml:space="preserve">×1.0 </w:t>
      </w:r>
    </w:p>
    <w:p w14:paraId="3EA89708" w14:textId="77777777" w:rsidR="002C5BC3" w:rsidRPr="00121011" w:rsidRDefault="002C5BC3" w:rsidP="002C5BC3">
      <w:pPr>
        <w:snapToGrid w:val="0"/>
        <w:ind w:firstLineChars="350" w:firstLine="840"/>
        <w:rPr>
          <w:rFonts w:ascii="標楷體" w:eastAsia="標楷體" w:hAnsi="標楷體"/>
          <w:color w:val="000000" w:themeColor="text1"/>
        </w:rPr>
      </w:pPr>
      <w:r w:rsidRPr="00121011">
        <w:rPr>
          <w:rFonts w:ascii="標楷體" w:eastAsia="標楷體" w:hAnsi="標楷體" w:hint="eastAsia"/>
          <w:color w:val="000000" w:themeColor="text1"/>
        </w:rPr>
        <w:t>五、如以論文集為代表作提出申請者，分數之計算以前述之方式合計之。</w:t>
      </w:r>
    </w:p>
    <w:p w14:paraId="64B6D2D7" w14:textId="77777777" w:rsidR="002C5BC3" w:rsidRPr="00121011" w:rsidRDefault="002C5BC3" w:rsidP="002C5BC3">
      <w:pPr>
        <w:snapToGrid w:val="0"/>
        <w:ind w:firstLineChars="350" w:firstLine="840"/>
        <w:rPr>
          <w:rFonts w:ascii="標楷體" w:eastAsia="標楷體" w:hAnsi="標楷體"/>
          <w:color w:val="000000" w:themeColor="text1"/>
        </w:rPr>
      </w:pPr>
      <w:r w:rsidRPr="00121011">
        <w:rPr>
          <w:rFonts w:ascii="標楷體" w:eastAsia="標楷體" w:hAnsi="標楷體" w:hint="eastAsia"/>
          <w:color w:val="000000" w:themeColor="text1"/>
        </w:rPr>
        <w:t>六、申請晉升教授學術貢獻之標準，至少應累積</w:t>
      </w:r>
      <w:r w:rsidRPr="00121011">
        <w:rPr>
          <w:rFonts w:ascii="標楷體" w:eastAsia="標楷體" w:hAnsi="標楷體" w:hint="eastAsia"/>
          <w:b/>
          <w:color w:val="000000" w:themeColor="text1"/>
        </w:rPr>
        <w:t>75分</w:t>
      </w:r>
      <w:r w:rsidRPr="00121011">
        <w:rPr>
          <w:rFonts w:ascii="標楷體" w:eastAsia="標楷體" w:hAnsi="標楷體" w:hint="eastAsia"/>
          <w:color w:val="000000" w:themeColor="text1"/>
        </w:rPr>
        <w:t>。</w:t>
      </w:r>
    </w:p>
    <w:p w14:paraId="54C36024" w14:textId="77777777" w:rsidR="002C5BC3" w:rsidRPr="00121011" w:rsidRDefault="002C5BC3" w:rsidP="002C5BC3">
      <w:pPr>
        <w:snapToGrid w:val="0"/>
        <w:ind w:firstLineChars="350" w:firstLine="840"/>
        <w:rPr>
          <w:rFonts w:ascii="標楷體" w:eastAsia="標楷體" w:hAnsi="標楷體"/>
          <w:color w:val="000000" w:themeColor="text1"/>
        </w:rPr>
      </w:pPr>
      <w:r w:rsidRPr="00121011">
        <w:rPr>
          <w:rFonts w:ascii="標楷體" w:eastAsia="標楷體" w:hAnsi="標楷體" w:hint="eastAsia"/>
          <w:color w:val="000000" w:themeColor="text1"/>
        </w:rPr>
        <w:t>七、申請晉升助理教授或副教授學術貢獻之標準，至少應累積60分。</w:t>
      </w:r>
    </w:p>
    <w:p w14:paraId="664C1D57" w14:textId="77777777" w:rsidR="002C5BC3" w:rsidRPr="00121011" w:rsidRDefault="002C5BC3" w:rsidP="002C5BC3">
      <w:pPr>
        <w:snapToGrid w:val="0"/>
        <w:ind w:firstLineChars="350" w:firstLine="840"/>
        <w:rPr>
          <w:rFonts w:ascii="標楷體" w:eastAsia="標楷體" w:hAnsi="標楷體"/>
          <w:color w:val="000000" w:themeColor="text1"/>
        </w:rPr>
      </w:pPr>
      <w:r w:rsidRPr="00121011">
        <w:rPr>
          <w:rFonts w:ascii="標楷體" w:eastAsia="標楷體" w:hAnsi="標楷體" w:hint="eastAsia"/>
          <w:color w:val="000000" w:themeColor="text1"/>
        </w:rPr>
        <w:t>八、達到基本分數者得申請升等。</w:t>
      </w:r>
    </w:p>
    <w:p w14:paraId="110E91C3" w14:textId="77777777" w:rsidR="002C5BC3" w:rsidRPr="00121011" w:rsidRDefault="002C5BC3" w:rsidP="002C5BC3">
      <w:pPr>
        <w:snapToGrid w:val="0"/>
        <w:ind w:left="960" w:hangingChars="400" w:hanging="960"/>
        <w:rPr>
          <w:rFonts w:ascii="標楷體" w:eastAsia="標楷體" w:hAnsi="標楷體"/>
          <w:color w:val="000000" w:themeColor="text1"/>
        </w:rPr>
      </w:pPr>
      <w:r w:rsidRPr="00121011">
        <w:rPr>
          <w:rFonts w:ascii="標楷體" w:eastAsia="標楷體" w:hAnsi="標楷體" w:hint="eastAsia"/>
          <w:color w:val="000000" w:themeColor="text1"/>
        </w:rPr>
        <w:t>第六條 申請升等之代表作，應以其在本校服務期間之研究成果為限，服務機構應以本校為名。</w:t>
      </w:r>
    </w:p>
    <w:p w14:paraId="76FAA2AE" w14:textId="77777777" w:rsidR="0023097F" w:rsidRPr="00121011" w:rsidRDefault="002C5BC3" w:rsidP="002C5BC3">
      <w:pPr>
        <w:ind w:left="1200" w:hangingChars="500" w:hanging="1200"/>
        <w:rPr>
          <w:rFonts w:ascii="標楷體" w:eastAsia="標楷體" w:hAnsi="標楷體"/>
          <w:color w:val="000000" w:themeColor="text1"/>
          <w:szCs w:val="22"/>
        </w:rPr>
      </w:pPr>
      <w:r w:rsidRPr="00121011">
        <w:rPr>
          <w:rFonts w:ascii="標楷體" w:eastAsia="標楷體" w:hAnsi="標楷體" w:hint="eastAsia"/>
          <w:color w:val="000000" w:themeColor="text1"/>
        </w:rPr>
        <w:t>第七條 本院教師升等審查項目分為研究、教學、服務</w:t>
      </w:r>
      <w:r w:rsidRPr="00121011">
        <w:rPr>
          <w:rFonts w:ascii="標楷體" w:eastAsia="標楷體" w:hAnsi="標楷體" w:hint="eastAsia"/>
          <w:color w:val="000000" w:themeColor="text1"/>
          <w:szCs w:val="22"/>
        </w:rPr>
        <w:t>及輔導三項。院級之教學、研究、服務及輔導</w:t>
      </w:r>
    </w:p>
    <w:p w14:paraId="083FD9F0" w14:textId="77777777" w:rsidR="002C5BC3" w:rsidRPr="00121011" w:rsidRDefault="002C5BC3" w:rsidP="0023097F">
      <w:pPr>
        <w:ind w:firstLineChars="400" w:firstLine="960"/>
        <w:rPr>
          <w:rFonts w:ascii="標楷體" w:eastAsia="標楷體" w:hAnsi="標楷體"/>
          <w:color w:val="000000" w:themeColor="text1"/>
          <w:szCs w:val="22"/>
        </w:rPr>
      </w:pPr>
      <w:r w:rsidRPr="00121011">
        <w:rPr>
          <w:rFonts w:ascii="標楷體" w:eastAsia="標楷體" w:hAnsi="標楷體" w:hint="eastAsia"/>
          <w:color w:val="000000" w:themeColor="text1"/>
          <w:szCs w:val="22"/>
        </w:rPr>
        <w:t>成績則採用系級成績但可調整分數，以百分之十的增減幅度為</w:t>
      </w:r>
      <w:proofErr w:type="gramStart"/>
      <w:r w:rsidRPr="00121011">
        <w:rPr>
          <w:rFonts w:ascii="標楷體" w:eastAsia="標楷體" w:hAnsi="標楷體" w:hint="eastAsia"/>
          <w:color w:val="000000" w:themeColor="text1"/>
          <w:szCs w:val="22"/>
        </w:rPr>
        <w:t>準</w:t>
      </w:r>
      <w:proofErr w:type="gramEnd"/>
      <w:r w:rsidRPr="00121011">
        <w:rPr>
          <w:rFonts w:ascii="標楷體" w:eastAsia="標楷體" w:hAnsi="標楷體" w:hint="eastAsia"/>
          <w:color w:val="000000" w:themeColor="text1"/>
          <w:szCs w:val="22"/>
        </w:rPr>
        <w:t>。</w:t>
      </w:r>
    </w:p>
    <w:p w14:paraId="14986EE2" w14:textId="77777777" w:rsidR="002C5BC3" w:rsidRPr="00121011" w:rsidRDefault="002C5BC3" w:rsidP="002C5BC3">
      <w:pPr>
        <w:ind w:leftChars="350" w:left="1200" w:hangingChars="150" w:hanging="360"/>
        <w:rPr>
          <w:rFonts w:ascii="標楷體" w:eastAsia="標楷體" w:hAnsi="標楷體"/>
          <w:color w:val="000000" w:themeColor="text1"/>
          <w:szCs w:val="22"/>
        </w:rPr>
      </w:pPr>
      <w:r w:rsidRPr="00121011">
        <w:rPr>
          <w:rFonts w:ascii="標楷體" w:eastAsia="標楷體" w:hAnsi="標楷體" w:hint="eastAsia"/>
          <w:color w:val="000000" w:themeColor="text1"/>
          <w:szCs w:val="22"/>
        </w:rPr>
        <w:t>升等案綜合評審配分比例如下：</w:t>
      </w:r>
    </w:p>
    <w:p w14:paraId="36E28B66" w14:textId="77777777" w:rsidR="002C5BC3" w:rsidRPr="00121011" w:rsidRDefault="002C5BC3" w:rsidP="002C5BC3">
      <w:pPr>
        <w:numPr>
          <w:ilvl w:val="0"/>
          <w:numId w:val="42"/>
        </w:numPr>
        <w:rPr>
          <w:rFonts w:ascii="標楷體" w:eastAsia="標楷體" w:hAnsi="標楷體"/>
          <w:color w:val="000000" w:themeColor="text1"/>
          <w:szCs w:val="22"/>
        </w:rPr>
      </w:pPr>
      <w:proofErr w:type="gramStart"/>
      <w:r w:rsidRPr="00121011">
        <w:rPr>
          <w:rFonts w:ascii="標楷體" w:eastAsia="標楷體" w:hAnsi="標楷體" w:hint="eastAsia"/>
          <w:color w:val="000000" w:themeColor="text1"/>
          <w:szCs w:val="22"/>
        </w:rPr>
        <w:t>擬升教授</w:t>
      </w:r>
      <w:proofErr w:type="gramEnd"/>
      <w:r w:rsidRPr="00121011">
        <w:rPr>
          <w:rFonts w:ascii="標楷體" w:eastAsia="標楷體" w:hAnsi="標楷體" w:hint="eastAsia"/>
          <w:color w:val="000000" w:themeColor="text1"/>
          <w:szCs w:val="22"/>
        </w:rPr>
        <w:t>者：教學30%、研究50%、服務及輔導20%。</w:t>
      </w:r>
    </w:p>
    <w:p w14:paraId="2C0AA3D8" w14:textId="77777777" w:rsidR="002C5BC3" w:rsidRPr="00121011" w:rsidRDefault="002C5BC3" w:rsidP="002C5BC3">
      <w:pPr>
        <w:numPr>
          <w:ilvl w:val="0"/>
          <w:numId w:val="42"/>
        </w:numPr>
        <w:ind w:leftChars="350" w:left="1200" w:hangingChars="150" w:hanging="360"/>
        <w:rPr>
          <w:rFonts w:ascii="標楷體" w:eastAsia="標楷體" w:hAnsi="標楷體"/>
          <w:color w:val="000000" w:themeColor="text1"/>
          <w:szCs w:val="22"/>
        </w:rPr>
      </w:pPr>
      <w:proofErr w:type="gramStart"/>
      <w:r w:rsidRPr="00121011">
        <w:rPr>
          <w:rFonts w:ascii="標楷體" w:eastAsia="標楷體" w:hAnsi="標楷體" w:hint="eastAsia"/>
          <w:color w:val="000000" w:themeColor="text1"/>
          <w:szCs w:val="22"/>
        </w:rPr>
        <w:t>擬升副教授</w:t>
      </w:r>
      <w:proofErr w:type="gramEnd"/>
      <w:r w:rsidRPr="00121011">
        <w:rPr>
          <w:rFonts w:ascii="標楷體" w:eastAsia="標楷體" w:hAnsi="標楷體" w:hint="eastAsia"/>
          <w:color w:val="000000" w:themeColor="text1"/>
          <w:szCs w:val="22"/>
        </w:rPr>
        <w:t>、助理教授者：教學30%、研究40%、服務及輔導30%。</w:t>
      </w:r>
    </w:p>
    <w:p w14:paraId="2F3C5C81" w14:textId="77777777" w:rsidR="002C5BC3" w:rsidRPr="00121011" w:rsidRDefault="002C5BC3" w:rsidP="0023097F">
      <w:pPr>
        <w:ind w:leftChars="350" w:left="1200" w:hangingChars="150" w:hanging="360"/>
        <w:rPr>
          <w:rFonts w:ascii="標楷體" w:eastAsia="標楷體" w:hAnsi="標楷體"/>
          <w:color w:val="000000" w:themeColor="text1"/>
        </w:rPr>
      </w:pPr>
      <w:proofErr w:type="gramStart"/>
      <w:r w:rsidRPr="00121011">
        <w:rPr>
          <w:rFonts w:ascii="標楷體" w:eastAsia="標楷體" w:hAnsi="標楷體" w:hint="eastAsia"/>
          <w:color w:val="000000" w:themeColor="text1"/>
          <w:szCs w:val="22"/>
        </w:rPr>
        <w:t>每位教評</w:t>
      </w:r>
      <w:proofErr w:type="gramEnd"/>
      <w:r w:rsidRPr="00121011">
        <w:rPr>
          <w:rFonts w:ascii="標楷體" w:eastAsia="標楷體" w:hAnsi="標楷體" w:hint="eastAsia"/>
          <w:color w:val="000000" w:themeColor="text1"/>
          <w:szCs w:val="22"/>
        </w:rPr>
        <w:t>會委員依前項分配比例進行綜合評審，其滿分為一百分，計算至小數第一位；升等教授者須達八十五分以上、副教授者須達八十分以上、助理教授者須達七十五分以上。同意升等達出席委員2/3以上者，即通過升等案，不通過者需附具體理由並告知救濟途徑。</w:t>
      </w:r>
    </w:p>
    <w:p w14:paraId="39B57BD5" w14:textId="77777777" w:rsidR="002C5BC3" w:rsidRPr="00121011" w:rsidRDefault="002C5BC3" w:rsidP="002C5BC3">
      <w:pPr>
        <w:ind w:left="960" w:hangingChars="400" w:hanging="960"/>
        <w:rPr>
          <w:rFonts w:ascii="標楷體" w:eastAsia="標楷體" w:hAnsi="標楷體"/>
          <w:color w:val="000000" w:themeColor="text1"/>
        </w:rPr>
      </w:pPr>
      <w:r w:rsidRPr="00121011">
        <w:rPr>
          <w:rFonts w:ascii="標楷體" w:eastAsia="標楷體" w:hAnsi="標楷體" w:hint="eastAsia"/>
          <w:color w:val="000000" w:themeColor="text1"/>
        </w:rPr>
        <w:t xml:space="preserve">第八條 </w:t>
      </w:r>
      <w:r w:rsidRPr="00121011">
        <w:rPr>
          <w:rFonts w:ascii="標楷體" w:eastAsia="標楷體" w:hAnsi="標楷體" w:hint="eastAsia"/>
          <w:color w:val="000000" w:themeColor="text1"/>
          <w:szCs w:val="24"/>
        </w:rPr>
        <w:t>院教評會依本要點進行審查,</w:t>
      </w:r>
      <w:proofErr w:type="gramStart"/>
      <w:r w:rsidRPr="00121011">
        <w:rPr>
          <w:rFonts w:ascii="標楷體" w:eastAsia="標楷體" w:hAnsi="標楷體" w:hint="eastAsia"/>
          <w:color w:val="000000" w:themeColor="text1"/>
          <w:szCs w:val="24"/>
        </w:rPr>
        <w:t>並請升等</w:t>
      </w:r>
      <w:proofErr w:type="gramEnd"/>
      <w:r w:rsidRPr="00121011">
        <w:rPr>
          <w:rFonts w:ascii="標楷體" w:eastAsia="標楷體" w:hAnsi="標楷體" w:hint="eastAsia"/>
          <w:color w:val="000000" w:themeColor="text1"/>
          <w:szCs w:val="24"/>
        </w:rPr>
        <w:t>教師至院教評會報告。</w:t>
      </w:r>
      <w:r w:rsidRPr="00121011">
        <w:rPr>
          <w:rFonts w:ascii="標楷體" w:eastAsia="標楷體" w:hAnsi="標楷體" w:hint="eastAsia"/>
          <w:color w:val="000000" w:themeColor="text1"/>
        </w:rPr>
        <w:t>教師升等通過系、院二級審查後，</w:t>
      </w:r>
      <w:r w:rsidRPr="00121011">
        <w:rPr>
          <w:rFonts w:ascii="標楷體" w:eastAsia="標楷體" w:hAnsi="標楷體" w:hint="eastAsia"/>
          <w:color w:val="000000" w:themeColor="text1"/>
          <w:szCs w:val="24"/>
        </w:rPr>
        <w:t>提供人事</w:t>
      </w:r>
      <w:proofErr w:type="gramStart"/>
      <w:r w:rsidRPr="00121011">
        <w:rPr>
          <w:rFonts w:ascii="標楷體" w:eastAsia="標楷體" w:hAnsi="標楷體" w:hint="eastAsia"/>
          <w:color w:val="000000" w:themeColor="text1"/>
          <w:szCs w:val="24"/>
        </w:rPr>
        <w:t>室外審</w:t>
      </w:r>
      <w:proofErr w:type="gramEnd"/>
      <w:r w:rsidRPr="00121011">
        <w:rPr>
          <w:rFonts w:ascii="標楷體" w:eastAsia="標楷體" w:hAnsi="標楷體" w:hint="eastAsia"/>
          <w:color w:val="000000" w:themeColor="text1"/>
          <w:szCs w:val="24"/>
        </w:rPr>
        <w:t>的名單</w:t>
      </w:r>
      <w:r w:rsidR="007854F1" w:rsidRPr="00121011">
        <w:rPr>
          <w:rFonts w:ascii="標楷體" w:eastAsia="標楷體" w:hAnsi="標楷體" w:hint="eastAsia"/>
          <w:color w:val="000000" w:themeColor="text1"/>
          <w:szCs w:val="24"/>
        </w:rPr>
        <w:t>由院教評會相關領域委員推薦送審著作專業領域之審查人十至十五人;以教學著作為代表作</w:t>
      </w:r>
      <w:proofErr w:type="gramStart"/>
      <w:r w:rsidR="007854F1" w:rsidRPr="00121011">
        <w:rPr>
          <w:rFonts w:ascii="標楷體" w:eastAsia="標楷體" w:hAnsi="標楷體" w:hint="eastAsia"/>
          <w:color w:val="000000" w:themeColor="text1"/>
          <w:szCs w:val="24"/>
        </w:rPr>
        <w:t>提送升等</w:t>
      </w:r>
      <w:proofErr w:type="gramEnd"/>
      <w:r w:rsidR="007854F1" w:rsidRPr="00121011">
        <w:rPr>
          <w:rFonts w:ascii="標楷體" w:eastAsia="標楷體" w:hAnsi="標楷體" w:hint="eastAsia"/>
          <w:color w:val="000000" w:themeColor="text1"/>
          <w:szCs w:val="24"/>
        </w:rPr>
        <w:t>時,</w:t>
      </w:r>
      <w:r w:rsidR="007854F1" w:rsidRPr="00121011">
        <w:rPr>
          <w:rFonts w:ascii="標楷體" w:eastAsia="標楷體" w:hAnsi="標楷體"/>
          <w:color w:val="000000" w:themeColor="text1"/>
          <w:szCs w:val="24"/>
        </w:rPr>
        <w:t xml:space="preserve"> </w:t>
      </w:r>
      <w:r w:rsidR="007854F1" w:rsidRPr="00121011">
        <w:rPr>
          <w:rFonts w:ascii="標楷體" w:eastAsia="標楷體" w:hAnsi="標楷體" w:hint="eastAsia"/>
          <w:color w:val="000000" w:themeColor="text1"/>
          <w:szCs w:val="24"/>
        </w:rPr>
        <w:t>其中應具有學科教育相關資歷與學術發表之專家學者至少三人。</w:t>
      </w:r>
    </w:p>
    <w:p w14:paraId="025C7259" w14:textId="77777777" w:rsidR="0023097F" w:rsidRPr="00121011" w:rsidRDefault="002C5BC3" w:rsidP="002C5BC3">
      <w:pPr>
        <w:ind w:left="1200" w:hangingChars="500" w:hanging="1200"/>
        <w:rPr>
          <w:rFonts w:ascii="標楷體" w:eastAsia="標楷體" w:hAnsi="標楷體"/>
          <w:color w:val="000000" w:themeColor="text1"/>
        </w:rPr>
      </w:pPr>
      <w:r w:rsidRPr="00121011">
        <w:rPr>
          <w:rFonts w:ascii="標楷體" w:eastAsia="標楷體" w:hAnsi="標楷體" w:hint="eastAsia"/>
          <w:color w:val="000000" w:themeColor="text1"/>
        </w:rPr>
        <w:t>第九條 系、院</w:t>
      </w:r>
      <w:r w:rsidRPr="00121011">
        <w:rPr>
          <w:rFonts w:ascii="標楷體" w:eastAsia="標楷體" w:hAnsi="標楷體"/>
          <w:color w:val="000000" w:themeColor="text1"/>
        </w:rPr>
        <w:t>教評會審查未通過者，</w:t>
      </w:r>
      <w:proofErr w:type="gramStart"/>
      <w:r w:rsidRPr="00121011">
        <w:rPr>
          <w:rFonts w:ascii="標楷體" w:eastAsia="標楷體" w:hAnsi="標楷體"/>
          <w:color w:val="000000" w:themeColor="text1"/>
        </w:rPr>
        <w:t>應述明</w:t>
      </w:r>
      <w:proofErr w:type="gramEnd"/>
      <w:r w:rsidRPr="00121011">
        <w:rPr>
          <w:rFonts w:ascii="標楷體" w:eastAsia="標楷體" w:hAnsi="標楷體"/>
          <w:color w:val="000000" w:themeColor="text1"/>
        </w:rPr>
        <w:t>審查未通過之具體理由及依據，於</w:t>
      </w:r>
      <w:r w:rsidRPr="00121011">
        <w:rPr>
          <w:rFonts w:ascii="標楷體" w:eastAsia="標楷體" w:hAnsi="標楷體" w:hint="eastAsia"/>
          <w:color w:val="000000" w:themeColor="text1"/>
        </w:rPr>
        <w:t>會議結束後十</w:t>
      </w:r>
      <w:r w:rsidRPr="00121011">
        <w:rPr>
          <w:rFonts w:ascii="標楷體" w:eastAsia="標楷體" w:hAnsi="標楷體"/>
          <w:color w:val="000000" w:themeColor="text1"/>
        </w:rPr>
        <w:t>日內，</w:t>
      </w:r>
    </w:p>
    <w:p w14:paraId="2F9B7D40" w14:textId="77777777" w:rsidR="002C5BC3" w:rsidRPr="00121011" w:rsidRDefault="000E1FC1" w:rsidP="0023097F">
      <w:pPr>
        <w:ind w:leftChars="400" w:left="1200" w:hangingChars="100" w:hanging="240"/>
        <w:rPr>
          <w:rFonts w:ascii="標楷體" w:eastAsia="標楷體" w:hAnsi="標楷體"/>
          <w:color w:val="000000" w:themeColor="text1"/>
        </w:rPr>
      </w:pPr>
      <w:r w:rsidRPr="00121011">
        <w:rPr>
          <w:rFonts w:ascii="標楷體" w:eastAsia="標楷體" w:hAnsi="標楷體" w:hint="eastAsia"/>
          <w:color w:val="000000" w:themeColor="text1"/>
        </w:rPr>
        <w:t>以學校名義函知</w:t>
      </w:r>
      <w:r w:rsidR="002C5BC3" w:rsidRPr="00121011">
        <w:rPr>
          <w:rFonts w:ascii="標楷體" w:eastAsia="標楷體" w:hAnsi="標楷體" w:hint="eastAsia"/>
          <w:color w:val="000000" w:themeColor="text1"/>
        </w:rPr>
        <w:t>當事人，並告知救濟途徑，副知高一、二級教評會</w:t>
      </w:r>
      <w:r w:rsidR="002C5BC3" w:rsidRPr="00121011">
        <w:rPr>
          <w:rFonts w:ascii="標楷體" w:eastAsia="標楷體" w:hAnsi="標楷體"/>
          <w:color w:val="000000" w:themeColor="text1"/>
        </w:rPr>
        <w:t>。</w:t>
      </w:r>
    </w:p>
    <w:p w14:paraId="7B20CD93" w14:textId="77777777" w:rsidR="00292FBF" w:rsidRPr="00121011" w:rsidRDefault="00122872" w:rsidP="00292FBF">
      <w:pPr>
        <w:rPr>
          <w:rFonts w:ascii="標楷體" w:eastAsia="標楷體" w:hAnsi="標楷體" w:cs="Arial"/>
          <w:color w:val="000000" w:themeColor="text1"/>
          <w:spacing w:val="15"/>
          <w:szCs w:val="24"/>
        </w:rPr>
      </w:pPr>
      <w:r w:rsidRPr="00121011">
        <w:rPr>
          <w:rFonts w:ascii="標楷體" w:eastAsia="標楷體" w:hAnsi="標楷體" w:hint="eastAsia"/>
          <w:color w:val="000000" w:themeColor="text1"/>
        </w:rPr>
        <w:t xml:space="preserve">       </w:t>
      </w:r>
      <w:r w:rsidR="00292FBF" w:rsidRPr="00121011">
        <w:rPr>
          <w:rFonts w:ascii="標楷體" w:eastAsia="標楷體" w:hAnsi="標楷體" w:cs="Arial"/>
          <w:color w:val="000000" w:themeColor="text1"/>
          <w:spacing w:val="15"/>
          <w:szCs w:val="24"/>
        </w:rPr>
        <w:t>申請升等教師如對審查結果有異議，得於收到審議結果十五日內向</w:t>
      </w:r>
      <w:proofErr w:type="gramStart"/>
      <w:r w:rsidR="00292FBF" w:rsidRPr="00121011">
        <w:rPr>
          <w:rFonts w:ascii="標楷體" w:eastAsia="標楷體" w:hAnsi="標楷體" w:cs="Arial"/>
          <w:color w:val="000000" w:themeColor="text1"/>
          <w:spacing w:val="15"/>
          <w:szCs w:val="24"/>
        </w:rPr>
        <w:t>上一級教評</w:t>
      </w:r>
      <w:proofErr w:type="gramEnd"/>
      <w:r w:rsidR="00292FBF" w:rsidRPr="00121011">
        <w:rPr>
          <w:rFonts w:ascii="標楷體" w:eastAsia="標楷體" w:hAnsi="標楷體" w:cs="Arial"/>
          <w:color w:val="000000" w:themeColor="text1"/>
          <w:spacing w:val="15"/>
          <w:szCs w:val="24"/>
        </w:rPr>
        <w:t>會</w:t>
      </w:r>
    </w:p>
    <w:p w14:paraId="347B82A1" w14:textId="77777777" w:rsidR="00292FBF" w:rsidRPr="00121011" w:rsidRDefault="00292FBF" w:rsidP="00292FBF">
      <w:pPr>
        <w:rPr>
          <w:rFonts w:ascii="標楷體" w:eastAsia="標楷體" w:hAnsi="標楷體" w:cs="Arial"/>
          <w:color w:val="000000" w:themeColor="text1"/>
          <w:spacing w:val="15"/>
          <w:szCs w:val="24"/>
        </w:rPr>
      </w:pPr>
      <w:r w:rsidRPr="00121011">
        <w:rPr>
          <w:rFonts w:ascii="標楷體" w:eastAsia="標楷體" w:hAnsi="標楷體" w:cs="Arial" w:hint="eastAsia"/>
          <w:color w:val="000000" w:themeColor="text1"/>
          <w:spacing w:val="15"/>
          <w:szCs w:val="24"/>
        </w:rPr>
        <w:t xml:space="preserve">      </w:t>
      </w:r>
      <w:r w:rsidRPr="00121011">
        <w:rPr>
          <w:rFonts w:ascii="標楷體" w:eastAsia="標楷體" w:hAnsi="標楷體" w:cs="Arial"/>
          <w:color w:val="000000" w:themeColor="text1"/>
          <w:spacing w:val="15"/>
          <w:szCs w:val="24"/>
        </w:rPr>
        <w:t>提起</w:t>
      </w:r>
      <w:proofErr w:type="gramStart"/>
      <w:r w:rsidRPr="00121011">
        <w:rPr>
          <w:rFonts w:ascii="標楷體" w:eastAsia="標楷體" w:hAnsi="標楷體" w:cs="Arial"/>
          <w:color w:val="000000" w:themeColor="text1"/>
          <w:spacing w:val="15"/>
          <w:szCs w:val="24"/>
        </w:rPr>
        <w:t>申復或於</w:t>
      </w:r>
      <w:proofErr w:type="gramEnd"/>
      <w:r w:rsidRPr="00121011">
        <w:rPr>
          <w:rFonts w:ascii="標楷體" w:eastAsia="標楷體" w:hAnsi="標楷體" w:cs="Arial"/>
          <w:color w:val="000000" w:themeColor="text1"/>
          <w:spacing w:val="15"/>
          <w:szCs w:val="24"/>
        </w:rPr>
        <w:t>三十日內</w:t>
      </w:r>
      <w:proofErr w:type="gramStart"/>
      <w:r w:rsidRPr="00121011">
        <w:rPr>
          <w:rFonts w:ascii="標楷體" w:eastAsia="標楷體" w:hAnsi="標楷體" w:cs="Arial"/>
          <w:color w:val="000000" w:themeColor="text1"/>
          <w:spacing w:val="15"/>
          <w:szCs w:val="24"/>
        </w:rPr>
        <w:t>逕</w:t>
      </w:r>
      <w:proofErr w:type="gramEnd"/>
      <w:r w:rsidRPr="00121011">
        <w:rPr>
          <w:rFonts w:ascii="標楷體" w:eastAsia="標楷體" w:hAnsi="標楷體" w:cs="Arial"/>
          <w:color w:val="000000" w:themeColor="text1"/>
          <w:spacing w:val="15"/>
          <w:szCs w:val="24"/>
        </w:rPr>
        <w:t>向本校教師申訴評議委員會提起申訴；對校教評會審議</w:t>
      </w:r>
    </w:p>
    <w:p w14:paraId="014F28A5" w14:textId="77777777" w:rsidR="00292FBF" w:rsidRPr="00121011" w:rsidRDefault="00292FBF" w:rsidP="00292FBF">
      <w:pPr>
        <w:rPr>
          <w:rFonts w:ascii="標楷體" w:eastAsia="標楷體" w:hAnsi="標楷體" w:cs="Arial"/>
          <w:color w:val="000000" w:themeColor="text1"/>
          <w:spacing w:val="15"/>
          <w:szCs w:val="24"/>
        </w:rPr>
      </w:pPr>
      <w:r w:rsidRPr="00121011">
        <w:rPr>
          <w:rFonts w:ascii="標楷體" w:eastAsia="標楷體" w:hAnsi="標楷體" w:cs="Arial" w:hint="eastAsia"/>
          <w:color w:val="000000" w:themeColor="text1"/>
          <w:spacing w:val="15"/>
          <w:szCs w:val="24"/>
        </w:rPr>
        <w:t xml:space="preserve">      </w:t>
      </w:r>
      <w:r w:rsidRPr="00121011">
        <w:rPr>
          <w:rFonts w:ascii="標楷體" w:eastAsia="標楷體" w:hAnsi="標楷體" w:cs="Arial"/>
          <w:color w:val="000000" w:themeColor="text1"/>
          <w:spacing w:val="15"/>
          <w:szCs w:val="24"/>
        </w:rPr>
        <w:t>結果有異議者，得向校教 評會提起申復或</w:t>
      </w:r>
      <w:proofErr w:type="gramStart"/>
      <w:r w:rsidRPr="00121011">
        <w:rPr>
          <w:rFonts w:ascii="標楷體" w:eastAsia="標楷體" w:hAnsi="標楷體" w:cs="Arial"/>
          <w:color w:val="000000" w:themeColor="text1"/>
          <w:spacing w:val="15"/>
          <w:szCs w:val="24"/>
        </w:rPr>
        <w:t>逕</w:t>
      </w:r>
      <w:proofErr w:type="gramEnd"/>
      <w:r w:rsidRPr="00121011">
        <w:rPr>
          <w:rFonts w:ascii="標楷體" w:eastAsia="標楷體" w:hAnsi="標楷體" w:cs="Arial"/>
          <w:color w:val="000000" w:themeColor="text1"/>
          <w:spacing w:val="15"/>
          <w:szCs w:val="24"/>
        </w:rPr>
        <w:t>向本校教師 申訴評議委員會提起申</w:t>
      </w:r>
    </w:p>
    <w:p w14:paraId="54D6E05D" w14:textId="77777777" w:rsidR="00292FBF" w:rsidRPr="00121011" w:rsidRDefault="00292FBF" w:rsidP="00292FBF">
      <w:pPr>
        <w:rPr>
          <w:rFonts w:ascii="標楷體" w:eastAsia="標楷體" w:hAnsi="標楷體" w:cs="Arial"/>
          <w:color w:val="000000" w:themeColor="text1"/>
          <w:spacing w:val="15"/>
          <w:szCs w:val="24"/>
        </w:rPr>
      </w:pPr>
      <w:r w:rsidRPr="00121011">
        <w:rPr>
          <w:rFonts w:ascii="標楷體" w:eastAsia="標楷體" w:hAnsi="標楷體" w:cs="Arial" w:hint="eastAsia"/>
          <w:color w:val="000000" w:themeColor="text1"/>
          <w:spacing w:val="15"/>
          <w:szCs w:val="24"/>
        </w:rPr>
        <w:t xml:space="preserve">      </w:t>
      </w:r>
      <w:r w:rsidRPr="00121011">
        <w:rPr>
          <w:rFonts w:ascii="標楷體" w:eastAsia="標楷體" w:hAnsi="標楷體" w:cs="Arial"/>
          <w:color w:val="000000" w:themeColor="text1"/>
          <w:spacing w:val="15"/>
          <w:szCs w:val="24"/>
        </w:rPr>
        <w:t>訴。申復以一次為限，如對申復結果仍有不服時，得另向本校教師申訴評議委員</w:t>
      </w:r>
    </w:p>
    <w:p w14:paraId="526A1FE2" w14:textId="77777777" w:rsidR="00292FBF" w:rsidRPr="00121011" w:rsidRDefault="00292FBF" w:rsidP="00122872">
      <w:pPr>
        <w:rPr>
          <w:rFonts w:ascii="標楷體" w:eastAsia="標楷體" w:hAnsi="標楷體"/>
          <w:color w:val="000000" w:themeColor="text1"/>
        </w:rPr>
      </w:pPr>
      <w:r w:rsidRPr="00121011">
        <w:rPr>
          <w:rFonts w:ascii="標楷體" w:eastAsia="標楷體" w:hAnsi="標楷體" w:cs="Arial" w:hint="eastAsia"/>
          <w:color w:val="000000" w:themeColor="text1"/>
          <w:spacing w:val="15"/>
          <w:szCs w:val="24"/>
        </w:rPr>
        <w:t xml:space="preserve">      </w:t>
      </w:r>
      <w:r w:rsidRPr="00121011">
        <w:rPr>
          <w:rFonts w:ascii="標楷體" w:eastAsia="標楷體" w:hAnsi="標楷體" w:cs="Arial"/>
          <w:color w:val="000000" w:themeColor="text1"/>
          <w:spacing w:val="15"/>
          <w:szCs w:val="24"/>
        </w:rPr>
        <w:t>會提起申訴。</w:t>
      </w:r>
    </w:p>
    <w:p w14:paraId="4C560D13" w14:textId="77777777" w:rsidR="007832D8" w:rsidRPr="00121011" w:rsidRDefault="00A847F6" w:rsidP="00A847F6">
      <w:pPr>
        <w:rPr>
          <w:rFonts w:ascii="標楷體" w:eastAsia="標楷體" w:hAnsi="標楷體"/>
          <w:color w:val="000000" w:themeColor="text1"/>
        </w:rPr>
      </w:pPr>
      <w:r w:rsidRPr="00121011">
        <w:rPr>
          <w:rFonts w:ascii="標楷體" w:eastAsia="標楷體" w:hAnsi="標楷體" w:hint="eastAsia"/>
          <w:color w:val="000000" w:themeColor="text1"/>
        </w:rPr>
        <w:t xml:space="preserve">       </w:t>
      </w:r>
      <w:r w:rsidR="005929D4" w:rsidRPr="00121011">
        <w:rPr>
          <w:rFonts w:ascii="標楷體" w:eastAsia="標楷體" w:hAnsi="標楷體" w:hint="eastAsia"/>
          <w:color w:val="000000" w:themeColor="text1"/>
        </w:rPr>
        <w:t>院</w:t>
      </w:r>
      <w:r w:rsidR="007832D8" w:rsidRPr="00121011">
        <w:rPr>
          <w:rFonts w:ascii="標楷體" w:eastAsia="標楷體" w:hAnsi="標楷體" w:hint="eastAsia"/>
          <w:color w:val="000000" w:themeColor="text1"/>
        </w:rPr>
        <w:t>、</w:t>
      </w:r>
      <w:r w:rsidR="005929D4" w:rsidRPr="00121011">
        <w:rPr>
          <w:rFonts w:ascii="標楷體" w:eastAsia="標楷體" w:hAnsi="標楷體" w:hint="eastAsia"/>
          <w:color w:val="000000" w:themeColor="text1"/>
        </w:rPr>
        <w:t>校</w:t>
      </w:r>
      <w:r w:rsidRPr="00121011">
        <w:rPr>
          <w:rFonts w:ascii="標楷體" w:eastAsia="標楷體" w:hAnsi="標楷體"/>
          <w:color w:val="000000" w:themeColor="text1"/>
        </w:rPr>
        <w:t>教評會於收到送審人提起申復案之次日起，應於兩個月內完成會議審議，會議後十日</w:t>
      </w:r>
    </w:p>
    <w:p w14:paraId="1C4061EE" w14:textId="77777777" w:rsidR="00122872" w:rsidRPr="00121011" w:rsidRDefault="007832D8" w:rsidP="00A847F6">
      <w:pPr>
        <w:rPr>
          <w:rFonts w:ascii="標楷體" w:eastAsia="標楷體" w:hAnsi="標楷體"/>
          <w:color w:val="000000" w:themeColor="text1"/>
        </w:rPr>
      </w:pPr>
      <w:r w:rsidRPr="00121011">
        <w:rPr>
          <w:rFonts w:ascii="標楷體" w:eastAsia="標楷體" w:hAnsi="標楷體" w:hint="eastAsia"/>
          <w:color w:val="000000" w:themeColor="text1"/>
        </w:rPr>
        <w:t xml:space="preserve">       </w:t>
      </w:r>
      <w:r w:rsidR="00A847F6" w:rsidRPr="00121011">
        <w:rPr>
          <w:rFonts w:ascii="標楷體" w:eastAsia="標楷體" w:hAnsi="標楷體"/>
          <w:color w:val="000000" w:themeColor="text1"/>
        </w:rPr>
        <w:t>內以書面通知審議結果，並告知救濟途徑。</w:t>
      </w:r>
    </w:p>
    <w:p w14:paraId="6CF99AA2" w14:textId="77777777" w:rsidR="00B54D2A" w:rsidRPr="00121011" w:rsidRDefault="002C5BC3" w:rsidP="002C5BC3">
      <w:pPr>
        <w:ind w:left="1200" w:hangingChars="500" w:hanging="1200"/>
        <w:rPr>
          <w:rFonts w:ascii="標楷體" w:eastAsia="標楷體" w:hAnsi="標楷體"/>
          <w:color w:val="000000" w:themeColor="text1"/>
        </w:rPr>
      </w:pPr>
      <w:r w:rsidRPr="00121011">
        <w:rPr>
          <w:rFonts w:ascii="標楷體" w:eastAsia="標楷體" w:hAnsi="標楷體" w:hint="eastAsia"/>
          <w:color w:val="000000" w:themeColor="text1"/>
        </w:rPr>
        <w:t xml:space="preserve">       送審人對決議認為違法或不當，致損害其權益者，得依「東海大學教師申訴評議委員會組織</w:t>
      </w:r>
    </w:p>
    <w:p w14:paraId="3EAE3B61" w14:textId="77777777" w:rsidR="002C5BC3" w:rsidRPr="00121011" w:rsidRDefault="00B54D2A" w:rsidP="002C5BC3">
      <w:pPr>
        <w:ind w:left="1200" w:hangingChars="500" w:hanging="1200"/>
        <w:rPr>
          <w:rFonts w:ascii="標楷體" w:eastAsia="標楷體" w:hAnsi="標楷體"/>
          <w:color w:val="000000" w:themeColor="text1"/>
        </w:rPr>
      </w:pPr>
      <w:r w:rsidRPr="00121011">
        <w:rPr>
          <w:rFonts w:ascii="標楷體" w:eastAsia="標楷體" w:hAnsi="標楷體" w:hint="eastAsia"/>
          <w:color w:val="000000" w:themeColor="text1"/>
        </w:rPr>
        <w:t xml:space="preserve">       </w:t>
      </w:r>
      <w:r w:rsidR="002C5BC3" w:rsidRPr="00121011">
        <w:rPr>
          <w:rFonts w:ascii="標楷體" w:eastAsia="標楷體" w:hAnsi="標楷體" w:hint="eastAsia"/>
          <w:color w:val="000000" w:themeColor="text1"/>
        </w:rPr>
        <w:t>及評議要點」之規定，向本校教師申訴評議委員會提起申訴。</w:t>
      </w:r>
      <w:r w:rsidR="002C5BC3" w:rsidRPr="00121011">
        <w:rPr>
          <w:rFonts w:ascii="Cambria" w:eastAsia="標楷體" w:hAnsi="Cambria" w:cs="標楷體" w:hint="eastAsia"/>
          <w:color w:val="000000" w:themeColor="text1"/>
        </w:rPr>
        <w:t xml:space="preserve"> </w:t>
      </w:r>
    </w:p>
    <w:p w14:paraId="3D28BBE6" w14:textId="77777777" w:rsidR="002C5BC3" w:rsidRPr="00121011" w:rsidRDefault="002C5BC3" w:rsidP="002C5BC3">
      <w:pPr>
        <w:spacing w:line="360" w:lineRule="exact"/>
        <w:ind w:leftChars="5" w:left="852" w:hangingChars="350" w:hanging="840"/>
        <w:jc w:val="both"/>
        <w:rPr>
          <w:rFonts w:ascii="標楷體" w:eastAsia="標楷體" w:hAnsi="標楷體"/>
          <w:color w:val="000000" w:themeColor="text1"/>
          <w:sz w:val="22"/>
        </w:rPr>
      </w:pPr>
      <w:r w:rsidRPr="00121011">
        <w:rPr>
          <w:rFonts w:ascii="標楷體" w:eastAsia="標楷體" w:hAnsi="標楷體" w:hint="eastAsia"/>
          <w:color w:val="000000" w:themeColor="text1"/>
          <w:szCs w:val="24"/>
        </w:rPr>
        <w:t>第十條</w:t>
      </w:r>
      <w:r w:rsidRPr="00121011">
        <w:rPr>
          <w:rFonts w:ascii="標楷體" w:eastAsia="標楷體" w:hAnsi="標楷體" w:cs="標楷體" w:hint="eastAsia"/>
          <w:color w:val="000000" w:themeColor="text1"/>
          <w:szCs w:val="24"/>
        </w:rPr>
        <w:t xml:space="preserve"> </w:t>
      </w:r>
      <w:r w:rsidRPr="00121011">
        <w:rPr>
          <w:rFonts w:ascii="標楷體" w:eastAsia="標楷體" w:hAnsi="標楷體" w:cs="標楷體"/>
          <w:color w:val="000000" w:themeColor="text1"/>
          <w:szCs w:val="24"/>
        </w:rPr>
        <w:t>各系應將申請升等人之有關資料，於每年 四月五日或十月五日以前，送院教評會審 查，</w:t>
      </w:r>
      <w:proofErr w:type="gramStart"/>
      <w:r w:rsidRPr="00121011">
        <w:rPr>
          <w:rFonts w:ascii="標楷體" w:eastAsia="標楷體" w:hAnsi="標楷體" w:cs="標楷體"/>
          <w:color w:val="000000" w:themeColor="text1"/>
          <w:szCs w:val="24"/>
        </w:rPr>
        <w:t>逾期者延至</w:t>
      </w:r>
      <w:proofErr w:type="gramEnd"/>
      <w:r w:rsidRPr="00121011">
        <w:rPr>
          <w:rFonts w:ascii="標楷體" w:eastAsia="標楷體" w:hAnsi="標楷體" w:cs="標楷體"/>
          <w:color w:val="000000" w:themeColor="text1"/>
          <w:szCs w:val="24"/>
        </w:rPr>
        <w:t>下一學期辦理。</w:t>
      </w:r>
    </w:p>
    <w:p w14:paraId="5EBD4137" w14:textId="77777777" w:rsidR="002C5BC3" w:rsidRPr="00121011" w:rsidRDefault="002C5BC3" w:rsidP="002C5BC3">
      <w:pPr>
        <w:spacing w:line="320" w:lineRule="exact"/>
        <w:ind w:left="1080" w:hangingChars="450" w:hanging="1080"/>
        <w:jc w:val="both"/>
        <w:rPr>
          <w:rFonts w:ascii="標楷體" w:eastAsia="標楷體" w:hAnsi="標楷體"/>
          <w:color w:val="000000" w:themeColor="text1"/>
        </w:rPr>
      </w:pPr>
      <w:r w:rsidRPr="00121011">
        <w:rPr>
          <w:rFonts w:ascii="標楷體" w:eastAsia="標楷體" w:hAnsi="標楷體" w:hint="eastAsia"/>
          <w:color w:val="000000" w:themeColor="text1"/>
        </w:rPr>
        <w:t>第十一條 以教學實務研究代替專門著作送審者，其辦法另訂之。</w:t>
      </w:r>
    </w:p>
    <w:p w14:paraId="1D7BD2F1" w14:textId="77777777" w:rsidR="002C5BC3" w:rsidRPr="00121011" w:rsidRDefault="002C5BC3" w:rsidP="002C5BC3">
      <w:pPr>
        <w:ind w:left="1200" w:hangingChars="500" w:hanging="1200"/>
        <w:rPr>
          <w:rFonts w:ascii="標楷體" w:eastAsia="標楷體" w:hAnsi="標楷體"/>
          <w:color w:val="000000" w:themeColor="text1"/>
          <w:szCs w:val="24"/>
        </w:rPr>
      </w:pPr>
      <w:r w:rsidRPr="00121011">
        <w:rPr>
          <w:rFonts w:ascii="標楷體" w:eastAsia="標楷體" w:hAnsi="標楷體" w:hint="eastAsia"/>
          <w:color w:val="000000" w:themeColor="text1"/>
        </w:rPr>
        <w:t>第十二條 其他未盡事宜，依本校相關規定辦理。</w:t>
      </w:r>
    </w:p>
    <w:p w14:paraId="325839F9" w14:textId="77777777" w:rsidR="002C5BC3" w:rsidRPr="00121011" w:rsidRDefault="002C5BC3" w:rsidP="002C5BC3">
      <w:pPr>
        <w:tabs>
          <w:tab w:val="left" w:pos="1843"/>
          <w:tab w:val="left" w:pos="1920"/>
          <w:tab w:val="left" w:pos="2880"/>
          <w:tab w:val="left" w:pos="3840"/>
          <w:tab w:val="center" w:pos="4153"/>
          <w:tab w:val="left" w:pos="4800"/>
          <w:tab w:val="left" w:pos="5760"/>
          <w:tab w:val="left" w:pos="6720"/>
          <w:tab w:val="left" w:pos="7680"/>
          <w:tab w:val="right" w:pos="8306"/>
          <w:tab w:val="left" w:pos="8640"/>
        </w:tabs>
        <w:autoSpaceDE w:val="0"/>
        <w:autoSpaceDN w:val="0"/>
        <w:adjustRightInd w:val="0"/>
        <w:snapToGrid w:val="0"/>
        <w:spacing w:line="360" w:lineRule="atLeast"/>
        <w:jc w:val="both"/>
        <w:textAlignment w:val="center"/>
        <w:rPr>
          <w:rFonts w:ascii="標楷體" w:eastAsia="標楷體" w:hAnsi="標楷體"/>
          <w:noProof/>
          <w:color w:val="000000" w:themeColor="text1"/>
          <w:szCs w:val="24"/>
        </w:rPr>
      </w:pPr>
      <w:r w:rsidRPr="00121011">
        <w:rPr>
          <w:rFonts w:ascii="標楷體" w:eastAsia="標楷體" w:hAnsi="標楷體" w:hint="eastAsia"/>
          <w:noProof/>
          <w:color w:val="000000" w:themeColor="text1"/>
          <w:szCs w:val="24"/>
        </w:rPr>
        <w:t xml:space="preserve">第十三條 </w:t>
      </w:r>
      <w:r w:rsidRPr="00121011">
        <w:rPr>
          <w:rFonts w:ascii="標楷體" w:eastAsia="標楷體" w:hAnsi="標楷體" w:hint="eastAsia"/>
          <w:noProof/>
          <w:color w:val="000000" w:themeColor="text1"/>
          <w:kern w:val="0"/>
        </w:rPr>
        <w:t>本要點經院教評會訂定，院務會議通過，報校教評會審議後實施。</w:t>
      </w:r>
    </w:p>
    <w:p w14:paraId="7DB4D7CD" w14:textId="77777777" w:rsidR="002C5BC3" w:rsidRPr="00121011" w:rsidRDefault="002C5BC3" w:rsidP="00A16941">
      <w:pPr>
        <w:spacing w:line="360" w:lineRule="exact"/>
        <w:rPr>
          <w:color w:val="000000" w:themeColor="text1"/>
        </w:rPr>
      </w:pPr>
    </w:p>
    <w:sectPr w:rsidR="002C5BC3" w:rsidRPr="00121011" w:rsidSect="00B332BC">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15E7" w14:textId="77777777" w:rsidR="00157751" w:rsidRDefault="00157751" w:rsidP="00820A2A">
      <w:r>
        <w:separator/>
      </w:r>
    </w:p>
  </w:endnote>
  <w:endnote w:type="continuationSeparator" w:id="0">
    <w:p w14:paraId="5211C9D7" w14:textId="77777777" w:rsidR="00157751" w:rsidRDefault="00157751" w:rsidP="0082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中黑體">
    <w:altName w:val="細明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9EA2" w14:textId="77777777" w:rsidR="00157751" w:rsidRDefault="00157751" w:rsidP="00820A2A">
      <w:r>
        <w:separator/>
      </w:r>
    </w:p>
  </w:footnote>
  <w:footnote w:type="continuationSeparator" w:id="0">
    <w:p w14:paraId="7C0EE2A0" w14:textId="77777777" w:rsidR="00157751" w:rsidRDefault="00157751" w:rsidP="00820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35E"/>
    <w:multiLevelType w:val="hybridMultilevel"/>
    <w:tmpl w:val="762008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C0C4D"/>
    <w:multiLevelType w:val="hybridMultilevel"/>
    <w:tmpl w:val="41A48CF4"/>
    <w:lvl w:ilvl="0" w:tplc="0DC21C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9679FB"/>
    <w:multiLevelType w:val="hybridMultilevel"/>
    <w:tmpl w:val="A8A8A124"/>
    <w:lvl w:ilvl="0" w:tplc="4ACC0AC4">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5307A5"/>
    <w:multiLevelType w:val="hybridMultilevel"/>
    <w:tmpl w:val="9D80E160"/>
    <w:lvl w:ilvl="0" w:tplc="8D7EB620">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107924C9"/>
    <w:multiLevelType w:val="hybridMultilevel"/>
    <w:tmpl w:val="D9B20226"/>
    <w:lvl w:ilvl="0" w:tplc="595488C2">
      <w:start w:val="1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D713C6"/>
    <w:multiLevelType w:val="hybridMultilevel"/>
    <w:tmpl w:val="C008A324"/>
    <w:lvl w:ilvl="0" w:tplc="531A8F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811B09"/>
    <w:multiLevelType w:val="hybridMultilevel"/>
    <w:tmpl w:val="DEACE6BE"/>
    <w:lvl w:ilvl="0" w:tplc="9CB8DEC6">
      <w:start w:val="1"/>
      <w:numFmt w:val="taiwaneseCountingThousand"/>
      <w:lvlText w:val="%1、"/>
      <w:lvlJc w:val="left"/>
      <w:pPr>
        <w:ind w:left="1320" w:hanging="480"/>
      </w:pPr>
      <w:rPr>
        <w:rFonts w:ascii="新細明體" w:eastAsia="新細明體" w:hAnsi="新細明體" w:cs="Times New Roman"/>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144A7FD4"/>
    <w:multiLevelType w:val="hybridMultilevel"/>
    <w:tmpl w:val="932EB146"/>
    <w:lvl w:ilvl="0" w:tplc="5FD26C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D6B7F"/>
    <w:multiLevelType w:val="hybridMultilevel"/>
    <w:tmpl w:val="35243432"/>
    <w:lvl w:ilvl="0" w:tplc="E46E0956">
      <w:start w:val="1"/>
      <w:numFmt w:val="taiwaneseCountingThousand"/>
      <w:lvlText w:val="%1、"/>
      <w:lvlJc w:val="left"/>
      <w:pPr>
        <w:ind w:left="720" w:hanging="72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0B69E9"/>
    <w:multiLevelType w:val="hybridMultilevel"/>
    <w:tmpl w:val="34B0A526"/>
    <w:lvl w:ilvl="0" w:tplc="4ACC0AC4">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865152"/>
    <w:multiLevelType w:val="hybridMultilevel"/>
    <w:tmpl w:val="D6669F60"/>
    <w:lvl w:ilvl="0" w:tplc="45FAE9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2D6005"/>
    <w:multiLevelType w:val="hybridMultilevel"/>
    <w:tmpl w:val="6DF618A4"/>
    <w:lvl w:ilvl="0" w:tplc="38322A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FB3C05"/>
    <w:multiLevelType w:val="hybridMultilevel"/>
    <w:tmpl w:val="800A6790"/>
    <w:lvl w:ilvl="0" w:tplc="4ACC0AC4">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32729B"/>
    <w:multiLevelType w:val="hybridMultilevel"/>
    <w:tmpl w:val="F6B65594"/>
    <w:lvl w:ilvl="0" w:tplc="0DC21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274031"/>
    <w:multiLevelType w:val="hybridMultilevel"/>
    <w:tmpl w:val="93E2B28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DD5916"/>
    <w:multiLevelType w:val="hybridMultilevel"/>
    <w:tmpl w:val="F328EE44"/>
    <w:lvl w:ilvl="0" w:tplc="6BB0AE22">
      <w:start w:val="1"/>
      <w:numFmt w:val="taiwaneseCountingThousand"/>
      <w:lvlText w:val="%1、"/>
      <w:lvlJc w:val="left"/>
      <w:pPr>
        <w:ind w:left="480" w:hanging="480"/>
      </w:pPr>
      <w:rPr>
        <w:rFonts w:hint="default"/>
        <w:color w:val="C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400D9D"/>
    <w:multiLevelType w:val="hybridMultilevel"/>
    <w:tmpl w:val="E384D39E"/>
    <w:lvl w:ilvl="0" w:tplc="0DC21C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4F2DE0"/>
    <w:multiLevelType w:val="hybridMultilevel"/>
    <w:tmpl w:val="07E2A8F0"/>
    <w:lvl w:ilvl="0" w:tplc="DBBAEEAE">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E35B98"/>
    <w:multiLevelType w:val="hybridMultilevel"/>
    <w:tmpl w:val="25C2E288"/>
    <w:lvl w:ilvl="0" w:tplc="06A2B1D8">
      <w:start w:val="14"/>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2F184C"/>
    <w:multiLevelType w:val="hybridMultilevel"/>
    <w:tmpl w:val="85360AA4"/>
    <w:lvl w:ilvl="0" w:tplc="5998B1C6">
      <w:start w:val="9"/>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F61CA0"/>
    <w:multiLevelType w:val="hybridMultilevel"/>
    <w:tmpl w:val="F60E309E"/>
    <w:lvl w:ilvl="0" w:tplc="35F204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AFC0976"/>
    <w:multiLevelType w:val="hybridMultilevel"/>
    <w:tmpl w:val="3AAEB5C8"/>
    <w:lvl w:ilvl="0" w:tplc="427CE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47417D"/>
    <w:multiLevelType w:val="hybridMultilevel"/>
    <w:tmpl w:val="1A269DF2"/>
    <w:lvl w:ilvl="0" w:tplc="139C97BC">
      <w:start w:val="12"/>
      <w:numFmt w:val="taiwaneseCountingThousand"/>
      <w:lvlText w:val="%1、"/>
      <w:lvlJc w:val="left"/>
      <w:pPr>
        <w:ind w:left="480" w:hanging="48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B57813"/>
    <w:multiLevelType w:val="hybridMultilevel"/>
    <w:tmpl w:val="FD52FB92"/>
    <w:lvl w:ilvl="0" w:tplc="BF826582">
      <w:start w:val="1"/>
      <w:numFmt w:val="taiwaneseCountingThousand"/>
      <w:lvlText w:val="%1、"/>
      <w:lvlJc w:val="left"/>
      <w:pPr>
        <w:ind w:left="480" w:hanging="48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222F21"/>
    <w:multiLevelType w:val="hybridMultilevel"/>
    <w:tmpl w:val="C49C32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AB1FD5"/>
    <w:multiLevelType w:val="hybridMultilevel"/>
    <w:tmpl w:val="93E2B28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1B3E55"/>
    <w:multiLevelType w:val="hybridMultilevel"/>
    <w:tmpl w:val="40DC8800"/>
    <w:lvl w:ilvl="0" w:tplc="AD786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665B28"/>
    <w:multiLevelType w:val="hybridMultilevel"/>
    <w:tmpl w:val="B1606516"/>
    <w:lvl w:ilvl="0" w:tplc="C5886762">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D313C9"/>
    <w:multiLevelType w:val="hybridMultilevel"/>
    <w:tmpl w:val="4FB2D566"/>
    <w:lvl w:ilvl="0" w:tplc="4ACC0AC4">
      <w:start w:val="1"/>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E06C5A"/>
    <w:multiLevelType w:val="hybridMultilevel"/>
    <w:tmpl w:val="D89C7072"/>
    <w:lvl w:ilvl="0" w:tplc="525A99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2350D4"/>
    <w:multiLevelType w:val="hybridMultilevel"/>
    <w:tmpl w:val="812E49BC"/>
    <w:lvl w:ilvl="0" w:tplc="AE1044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8E0F00"/>
    <w:multiLevelType w:val="hybridMultilevel"/>
    <w:tmpl w:val="6AD861AE"/>
    <w:lvl w:ilvl="0" w:tplc="5FD26C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1C70944"/>
    <w:multiLevelType w:val="hybridMultilevel"/>
    <w:tmpl w:val="BFBAEB56"/>
    <w:lvl w:ilvl="0" w:tplc="35A43E7A">
      <w:start w:val="1"/>
      <w:numFmt w:val="decimal"/>
      <w:lvlText w:val="%1."/>
      <w:lvlJc w:val="left"/>
      <w:pPr>
        <w:ind w:left="360" w:hanging="360"/>
      </w:pPr>
      <w:rPr>
        <w:rFonts w:hint="default"/>
      </w:rPr>
    </w:lvl>
    <w:lvl w:ilvl="1" w:tplc="FC362D3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6F5728"/>
    <w:multiLevelType w:val="hybridMultilevel"/>
    <w:tmpl w:val="D5EA12BE"/>
    <w:lvl w:ilvl="0" w:tplc="5F4EB7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49410A"/>
    <w:multiLevelType w:val="hybridMultilevel"/>
    <w:tmpl w:val="E2A8D9BE"/>
    <w:lvl w:ilvl="0" w:tplc="E8C2F19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58EC0C6E"/>
    <w:multiLevelType w:val="hybridMultilevel"/>
    <w:tmpl w:val="68BEAA8C"/>
    <w:lvl w:ilvl="0" w:tplc="EA0EA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094855"/>
    <w:multiLevelType w:val="hybridMultilevel"/>
    <w:tmpl w:val="40E60C72"/>
    <w:lvl w:ilvl="0" w:tplc="5FD26C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30629B"/>
    <w:multiLevelType w:val="hybridMultilevel"/>
    <w:tmpl w:val="7CD2FBF4"/>
    <w:lvl w:ilvl="0" w:tplc="BF826582">
      <w:start w:val="1"/>
      <w:numFmt w:val="taiwaneseCountingThousand"/>
      <w:lvlText w:val="%1、"/>
      <w:lvlJc w:val="left"/>
      <w:pPr>
        <w:ind w:left="480" w:hanging="48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780E58"/>
    <w:multiLevelType w:val="hybridMultilevel"/>
    <w:tmpl w:val="CB366524"/>
    <w:lvl w:ilvl="0" w:tplc="A3D01110">
      <w:start w:val="9"/>
      <w:numFmt w:val="decimal"/>
      <w:lvlText w:val="%1."/>
      <w:lvlJc w:val="left"/>
      <w:pPr>
        <w:ind w:left="480" w:hanging="48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967E48"/>
    <w:multiLevelType w:val="hybridMultilevel"/>
    <w:tmpl w:val="06DC7F48"/>
    <w:lvl w:ilvl="0" w:tplc="046AB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DC4D48"/>
    <w:multiLevelType w:val="hybridMultilevel"/>
    <w:tmpl w:val="C49C32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322AB9"/>
    <w:multiLevelType w:val="hybridMultilevel"/>
    <w:tmpl w:val="D8BC6226"/>
    <w:lvl w:ilvl="0" w:tplc="15EA27CA">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16cid:durableId="340935221">
    <w:abstractNumId w:val="20"/>
  </w:num>
  <w:num w:numId="2" w16cid:durableId="1923443533">
    <w:abstractNumId w:val="29"/>
  </w:num>
  <w:num w:numId="3" w16cid:durableId="1642036166">
    <w:abstractNumId w:val="13"/>
  </w:num>
  <w:num w:numId="4" w16cid:durableId="1569998113">
    <w:abstractNumId w:val="3"/>
  </w:num>
  <w:num w:numId="5" w16cid:durableId="1948266757">
    <w:abstractNumId w:val="10"/>
  </w:num>
  <w:num w:numId="6" w16cid:durableId="950672827">
    <w:abstractNumId w:val="40"/>
  </w:num>
  <w:num w:numId="7" w16cid:durableId="1338848658">
    <w:abstractNumId w:val="24"/>
  </w:num>
  <w:num w:numId="8" w16cid:durableId="239877121">
    <w:abstractNumId w:val="5"/>
  </w:num>
  <w:num w:numId="9" w16cid:durableId="88547164">
    <w:abstractNumId w:val="17"/>
  </w:num>
  <w:num w:numId="10" w16cid:durableId="758911074">
    <w:abstractNumId w:val="35"/>
  </w:num>
  <w:num w:numId="11" w16cid:durableId="689140248">
    <w:abstractNumId w:val="32"/>
  </w:num>
  <w:num w:numId="12" w16cid:durableId="823198660">
    <w:abstractNumId w:val="14"/>
  </w:num>
  <w:num w:numId="13" w16cid:durableId="1772386861">
    <w:abstractNumId w:val="25"/>
  </w:num>
  <w:num w:numId="14" w16cid:durableId="1738358605">
    <w:abstractNumId w:val="36"/>
  </w:num>
  <w:num w:numId="15" w16cid:durableId="120156604">
    <w:abstractNumId w:val="31"/>
  </w:num>
  <w:num w:numId="16" w16cid:durableId="336008867">
    <w:abstractNumId w:val="11"/>
  </w:num>
  <w:num w:numId="17" w16cid:durableId="1475097234">
    <w:abstractNumId w:val="37"/>
  </w:num>
  <w:num w:numId="18" w16cid:durableId="1675717042">
    <w:abstractNumId w:val="9"/>
  </w:num>
  <w:num w:numId="19" w16cid:durableId="697704458">
    <w:abstractNumId w:val="15"/>
  </w:num>
  <w:num w:numId="20" w16cid:durableId="772747935">
    <w:abstractNumId w:val="8"/>
  </w:num>
  <w:num w:numId="21" w16cid:durableId="172963807">
    <w:abstractNumId w:val="21"/>
  </w:num>
  <w:num w:numId="22" w16cid:durableId="81268527">
    <w:abstractNumId w:val="26"/>
  </w:num>
  <w:num w:numId="23" w16cid:durableId="74085416">
    <w:abstractNumId w:val="7"/>
  </w:num>
  <w:num w:numId="24" w16cid:durableId="1907910332">
    <w:abstractNumId w:val="27"/>
  </w:num>
  <w:num w:numId="25" w16cid:durableId="731659025">
    <w:abstractNumId w:val="39"/>
  </w:num>
  <w:num w:numId="26" w16cid:durableId="779648062">
    <w:abstractNumId w:val="12"/>
  </w:num>
  <w:num w:numId="27" w16cid:durableId="580598785">
    <w:abstractNumId w:val="19"/>
  </w:num>
  <w:num w:numId="28" w16cid:durableId="1480001695">
    <w:abstractNumId w:val="2"/>
  </w:num>
  <w:num w:numId="29" w16cid:durableId="77944082">
    <w:abstractNumId w:val="38"/>
  </w:num>
  <w:num w:numId="30" w16cid:durableId="376199326">
    <w:abstractNumId w:val="0"/>
  </w:num>
  <w:num w:numId="31" w16cid:durableId="1527018327">
    <w:abstractNumId w:val="28"/>
  </w:num>
  <w:num w:numId="32" w16cid:durableId="951863941">
    <w:abstractNumId w:val="18"/>
  </w:num>
  <w:num w:numId="33" w16cid:durableId="509489026">
    <w:abstractNumId w:val="34"/>
  </w:num>
  <w:num w:numId="34" w16cid:durableId="135341046">
    <w:abstractNumId w:val="16"/>
  </w:num>
  <w:num w:numId="35" w16cid:durableId="512231652">
    <w:abstractNumId w:val="4"/>
  </w:num>
  <w:num w:numId="36" w16cid:durableId="1482307066">
    <w:abstractNumId w:val="1"/>
  </w:num>
  <w:num w:numId="37" w16cid:durableId="688486739">
    <w:abstractNumId w:val="22"/>
  </w:num>
  <w:num w:numId="38" w16cid:durableId="28848476">
    <w:abstractNumId w:val="23"/>
  </w:num>
  <w:num w:numId="39" w16cid:durableId="1624918980">
    <w:abstractNumId w:val="30"/>
  </w:num>
  <w:num w:numId="40" w16cid:durableId="1155144051">
    <w:abstractNumId w:val="33"/>
  </w:num>
  <w:num w:numId="41" w16cid:durableId="1310551926">
    <w:abstractNumId w:val="41"/>
  </w:num>
  <w:num w:numId="42" w16cid:durableId="1119564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CD"/>
    <w:rsid w:val="00000C0C"/>
    <w:rsid w:val="000145C3"/>
    <w:rsid w:val="000233E8"/>
    <w:rsid w:val="000244E2"/>
    <w:rsid w:val="00026EA0"/>
    <w:rsid w:val="000311AF"/>
    <w:rsid w:val="00037E7E"/>
    <w:rsid w:val="0004222D"/>
    <w:rsid w:val="00042329"/>
    <w:rsid w:val="00043C6C"/>
    <w:rsid w:val="00045F8F"/>
    <w:rsid w:val="0004696C"/>
    <w:rsid w:val="00050919"/>
    <w:rsid w:val="00053453"/>
    <w:rsid w:val="000538E1"/>
    <w:rsid w:val="00063EB4"/>
    <w:rsid w:val="00074205"/>
    <w:rsid w:val="00075003"/>
    <w:rsid w:val="00075F8C"/>
    <w:rsid w:val="00077A53"/>
    <w:rsid w:val="00077EAD"/>
    <w:rsid w:val="000810F3"/>
    <w:rsid w:val="00082E71"/>
    <w:rsid w:val="000840DE"/>
    <w:rsid w:val="00092E74"/>
    <w:rsid w:val="0009459F"/>
    <w:rsid w:val="0009535E"/>
    <w:rsid w:val="000960AE"/>
    <w:rsid w:val="000977CC"/>
    <w:rsid w:val="00097D69"/>
    <w:rsid w:val="000A0619"/>
    <w:rsid w:val="000A15E2"/>
    <w:rsid w:val="000A45E0"/>
    <w:rsid w:val="000A513F"/>
    <w:rsid w:val="000A56E7"/>
    <w:rsid w:val="000B21B4"/>
    <w:rsid w:val="000C04C0"/>
    <w:rsid w:val="000C075F"/>
    <w:rsid w:val="000D5764"/>
    <w:rsid w:val="000D77B5"/>
    <w:rsid w:val="000E1B91"/>
    <w:rsid w:val="000E1FC1"/>
    <w:rsid w:val="000F08FA"/>
    <w:rsid w:val="000F33D3"/>
    <w:rsid w:val="00101364"/>
    <w:rsid w:val="00102F53"/>
    <w:rsid w:val="00104EEB"/>
    <w:rsid w:val="001137A0"/>
    <w:rsid w:val="00113AE3"/>
    <w:rsid w:val="00121011"/>
    <w:rsid w:val="001214CF"/>
    <w:rsid w:val="00122872"/>
    <w:rsid w:val="001248DB"/>
    <w:rsid w:val="00130DF3"/>
    <w:rsid w:val="00131DDC"/>
    <w:rsid w:val="001439CD"/>
    <w:rsid w:val="00145A1F"/>
    <w:rsid w:val="00153138"/>
    <w:rsid w:val="00157751"/>
    <w:rsid w:val="00160B25"/>
    <w:rsid w:val="00160B49"/>
    <w:rsid w:val="00161B21"/>
    <w:rsid w:val="001671CE"/>
    <w:rsid w:val="00174F80"/>
    <w:rsid w:val="001758DD"/>
    <w:rsid w:val="001823EF"/>
    <w:rsid w:val="0018387D"/>
    <w:rsid w:val="00186AE6"/>
    <w:rsid w:val="0019531F"/>
    <w:rsid w:val="001A122F"/>
    <w:rsid w:val="001A15A3"/>
    <w:rsid w:val="001A6896"/>
    <w:rsid w:val="001B11DE"/>
    <w:rsid w:val="001B77EE"/>
    <w:rsid w:val="001C1834"/>
    <w:rsid w:val="001C2C89"/>
    <w:rsid w:val="001C5908"/>
    <w:rsid w:val="001E1993"/>
    <w:rsid w:val="001E56F7"/>
    <w:rsid w:val="001E6B6E"/>
    <w:rsid w:val="001E7BD8"/>
    <w:rsid w:val="001F3A94"/>
    <w:rsid w:val="001F56DD"/>
    <w:rsid w:val="001F5E87"/>
    <w:rsid w:val="002033F3"/>
    <w:rsid w:val="00207054"/>
    <w:rsid w:val="00212F73"/>
    <w:rsid w:val="00223CA2"/>
    <w:rsid w:val="0023097F"/>
    <w:rsid w:val="00230E2B"/>
    <w:rsid w:val="00232B46"/>
    <w:rsid w:val="00232EB0"/>
    <w:rsid w:val="00234003"/>
    <w:rsid w:val="00236248"/>
    <w:rsid w:val="00236E99"/>
    <w:rsid w:val="00237D5D"/>
    <w:rsid w:val="002404C5"/>
    <w:rsid w:val="00245FFA"/>
    <w:rsid w:val="002479FA"/>
    <w:rsid w:val="00251C21"/>
    <w:rsid w:val="00253EB7"/>
    <w:rsid w:val="00254357"/>
    <w:rsid w:val="00255970"/>
    <w:rsid w:val="00256D28"/>
    <w:rsid w:val="00260A3A"/>
    <w:rsid w:val="00262248"/>
    <w:rsid w:val="002667B8"/>
    <w:rsid w:val="00267A65"/>
    <w:rsid w:val="002721B3"/>
    <w:rsid w:val="00277A7D"/>
    <w:rsid w:val="0028086D"/>
    <w:rsid w:val="00281E94"/>
    <w:rsid w:val="002822E7"/>
    <w:rsid w:val="00292FBF"/>
    <w:rsid w:val="0029359C"/>
    <w:rsid w:val="002944F8"/>
    <w:rsid w:val="002A18E4"/>
    <w:rsid w:val="002A5548"/>
    <w:rsid w:val="002A66AC"/>
    <w:rsid w:val="002A697C"/>
    <w:rsid w:val="002A7870"/>
    <w:rsid w:val="002B0A63"/>
    <w:rsid w:val="002B1E40"/>
    <w:rsid w:val="002B205D"/>
    <w:rsid w:val="002B7ACF"/>
    <w:rsid w:val="002C1FAC"/>
    <w:rsid w:val="002C5BC3"/>
    <w:rsid w:val="002D4C59"/>
    <w:rsid w:val="002D500E"/>
    <w:rsid w:val="002E15DD"/>
    <w:rsid w:val="002E5937"/>
    <w:rsid w:val="002E66EA"/>
    <w:rsid w:val="002F093C"/>
    <w:rsid w:val="002F0C4A"/>
    <w:rsid w:val="002F568B"/>
    <w:rsid w:val="002F687A"/>
    <w:rsid w:val="003007B2"/>
    <w:rsid w:val="003024F9"/>
    <w:rsid w:val="0031327B"/>
    <w:rsid w:val="0031532A"/>
    <w:rsid w:val="003161DE"/>
    <w:rsid w:val="003166DF"/>
    <w:rsid w:val="003206CF"/>
    <w:rsid w:val="003225AD"/>
    <w:rsid w:val="003234BC"/>
    <w:rsid w:val="003328CF"/>
    <w:rsid w:val="003356CB"/>
    <w:rsid w:val="0033714E"/>
    <w:rsid w:val="00337EAD"/>
    <w:rsid w:val="00337F71"/>
    <w:rsid w:val="003413EA"/>
    <w:rsid w:val="0034164A"/>
    <w:rsid w:val="003451AB"/>
    <w:rsid w:val="0035064B"/>
    <w:rsid w:val="0035216D"/>
    <w:rsid w:val="003527AD"/>
    <w:rsid w:val="00353C93"/>
    <w:rsid w:val="00355C5F"/>
    <w:rsid w:val="00360370"/>
    <w:rsid w:val="0036256A"/>
    <w:rsid w:val="003660DF"/>
    <w:rsid w:val="003664AD"/>
    <w:rsid w:val="003701FC"/>
    <w:rsid w:val="0037346A"/>
    <w:rsid w:val="003752FF"/>
    <w:rsid w:val="00383CAB"/>
    <w:rsid w:val="00383E1A"/>
    <w:rsid w:val="00384286"/>
    <w:rsid w:val="0038628E"/>
    <w:rsid w:val="0038783D"/>
    <w:rsid w:val="00394FC7"/>
    <w:rsid w:val="003A5AE0"/>
    <w:rsid w:val="003A69CE"/>
    <w:rsid w:val="003A6A91"/>
    <w:rsid w:val="003A7731"/>
    <w:rsid w:val="003B3ADE"/>
    <w:rsid w:val="003B570E"/>
    <w:rsid w:val="003C6D90"/>
    <w:rsid w:val="003D0421"/>
    <w:rsid w:val="003D1B1F"/>
    <w:rsid w:val="003E524D"/>
    <w:rsid w:val="003E6BF0"/>
    <w:rsid w:val="003F16D2"/>
    <w:rsid w:val="003F2F3A"/>
    <w:rsid w:val="003F2FBD"/>
    <w:rsid w:val="003F3BC6"/>
    <w:rsid w:val="003F5B57"/>
    <w:rsid w:val="00400202"/>
    <w:rsid w:val="004044EA"/>
    <w:rsid w:val="00406424"/>
    <w:rsid w:val="0041095B"/>
    <w:rsid w:val="00412309"/>
    <w:rsid w:val="00414BA4"/>
    <w:rsid w:val="00417C3A"/>
    <w:rsid w:val="0042388C"/>
    <w:rsid w:val="00425DD1"/>
    <w:rsid w:val="0043205E"/>
    <w:rsid w:val="00433692"/>
    <w:rsid w:val="0044229F"/>
    <w:rsid w:val="0044429D"/>
    <w:rsid w:val="00446BE2"/>
    <w:rsid w:val="00453BEC"/>
    <w:rsid w:val="004617FA"/>
    <w:rsid w:val="00465647"/>
    <w:rsid w:val="004737C9"/>
    <w:rsid w:val="00475496"/>
    <w:rsid w:val="0047692A"/>
    <w:rsid w:val="00480926"/>
    <w:rsid w:val="00494331"/>
    <w:rsid w:val="004944FC"/>
    <w:rsid w:val="004A0B36"/>
    <w:rsid w:val="004A2B82"/>
    <w:rsid w:val="004A591A"/>
    <w:rsid w:val="004A6149"/>
    <w:rsid w:val="004A654E"/>
    <w:rsid w:val="004A6CFB"/>
    <w:rsid w:val="004B6CA8"/>
    <w:rsid w:val="004C3EF6"/>
    <w:rsid w:val="004C40FE"/>
    <w:rsid w:val="004C6382"/>
    <w:rsid w:val="004D06CE"/>
    <w:rsid w:val="004D6907"/>
    <w:rsid w:val="004E069D"/>
    <w:rsid w:val="004E4A36"/>
    <w:rsid w:val="004F05BC"/>
    <w:rsid w:val="005046C3"/>
    <w:rsid w:val="005117B4"/>
    <w:rsid w:val="005131B7"/>
    <w:rsid w:val="0051469E"/>
    <w:rsid w:val="00514AFC"/>
    <w:rsid w:val="00516DC5"/>
    <w:rsid w:val="0051773F"/>
    <w:rsid w:val="00520C6D"/>
    <w:rsid w:val="00522870"/>
    <w:rsid w:val="00524E93"/>
    <w:rsid w:val="005315F9"/>
    <w:rsid w:val="0053239C"/>
    <w:rsid w:val="00532B0B"/>
    <w:rsid w:val="005331C7"/>
    <w:rsid w:val="005341D4"/>
    <w:rsid w:val="00541193"/>
    <w:rsid w:val="00541650"/>
    <w:rsid w:val="00542D4C"/>
    <w:rsid w:val="00542F9A"/>
    <w:rsid w:val="00543D7A"/>
    <w:rsid w:val="00546B5B"/>
    <w:rsid w:val="005500E2"/>
    <w:rsid w:val="005508D6"/>
    <w:rsid w:val="005538CF"/>
    <w:rsid w:val="00553C7E"/>
    <w:rsid w:val="005557FB"/>
    <w:rsid w:val="00560404"/>
    <w:rsid w:val="00561511"/>
    <w:rsid w:val="005619E2"/>
    <w:rsid w:val="0057148D"/>
    <w:rsid w:val="00571F09"/>
    <w:rsid w:val="00572C66"/>
    <w:rsid w:val="0057676B"/>
    <w:rsid w:val="005840BA"/>
    <w:rsid w:val="0058442A"/>
    <w:rsid w:val="00586891"/>
    <w:rsid w:val="0059060D"/>
    <w:rsid w:val="005929D4"/>
    <w:rsid w:val="005931DB"/>
    <w:rsid w:val="00593430"/>
    <w:rsid w:val="00594FCE"/>
    <w:rsid w:val="005A60EF"/>
    <w:rsid w:val="005A7CAA"/>
    <w:rsid w:val="005B1FB9"/>
    <w:rsid w:val="005B5598"/>
    <w:rsid w:val="005B6DFE"/>
    <w:rsid w:val="005C0C1D"/>
    <w:rsid w:val="005C5F76"/>
    <w:rsid w:val="005D010A"/>
    <w:rsid w:val="005D2F16"/>
    <w:rsid w:val="005D5DBD"/>
    <w:rsid w:val="005D5F46"/>
    <w:rsid w:val="005E461D"/>
    <w:rsid w:val="005E6BDB"/>
    <w:rsid w:val="005E6E8B"/>
    <w:rsid w:val="005E6FA3"/>
    <w:rsid w:val="005F1BEB"/>
    <w:rsid w:val="006005D9"/>
    <w:rsid w:val="006038A7"/>
    <w:rsid w:val="00606653"/>
    <w:rsid w:val="0061006D"/>
    <w:rsid w:val="006118C5"/>
    <w:rsid w:val="00614065"/>
    <w:rsid w:val="00627535"/>
    <w:rsid w:val="006424B0"/>
    <w:rsid w:val="00643D51"/>
    <w:rsid w:val="006603DD"/>
    <w:rsid w:val="00663ECF"/>
    <w:rsid w:val="0067013A"/>
    <w:rsid w:val="00674D3E"/>
    <w:rsid w:val="00684848"/>
    <w:rsid w:val="0068519E"/>
    <w:rsid w:val="0068539B"/>
    <w:rsid w:val="006858B5"/>
    <w:rsid w:val="00690A5F"/>
    <w:rsid w:val="006B0948"/>
    <w:rsid w:val="006B3D9B"/>
    <w:rsid w:val="006B4612"/>
    <w:rsid w:val="006B6DB3"/>
    <w:rsid w:val="006B6E97"/>
    <w:rsid w:val="006C0AC6"/>
    <w:rsid w:val="006C11BF"/>
    <w:rsid w:val="006C4572"/>
    <w:rsid w:val="006C5060"/>
    <w:rsid w:val="006C7614"/>
    <w:rsid w:val="006E378F"/>
    <w:rsid w:val="006F1284"/>
    <w:rsid w:val="006F706D"/>
    <w:rsid w:val="006F7996"/>
    <w:rsid w:val="00701405"/>
    <w:rsid w:val="007014C8"/>
    <w:rsid w:val="00701638"/>
    <w:rsid w:val="00702B57"/>
    <w:rsid w:val="00711D65"/>
    <w:rsid w:val="007179FD"/>
    <w:rsid w:val="00720397"/>
    <w:rsid w:val="007229B2"/>
    <w:rsid w:val="0072314F"/>
    <w:rsid w:val="0073606F"/>
    <w:rsid w:val="007360A9"/>
    <w:rsid w:val="0074219A"/>
    <w:rsid w:val="00744952"/>
    <w:rsid w:val="0075008D"/>
    <w:rsid w:val="0075310F"/>
    <w:rsid w:val="007535BC"/>
    <w:rsid w:val="00753D3D"/>
    <w:rsid w:val="007643A2"/>
    <w:rsid w:val="00764510"/>
    <w:rsid w:val="00772ABF"/>
    <w:rsid w:val="0077483D"/>
    <w:rsid w:val="007805B5"/>
    <w:rsid w:val="00782E81"/>
    <w:rsid w:val="00782FCD"/>
    <w:rsid w:val="007831C0"/>
    <w:rsid w:val="007832D8"/>
    <w:rsid w:val="007854F1"/>
    <w:rsid w:val="007856BD"/>
    <w:rsid w:val="00787C99"/>
    <w:rsid w:val="00790862"/>
    <w:rsid w:val="007A35FC"/>
    <w:rsid w:val="007A37C4"/>
    <w:rsid w:val="007B3F3F"/>
    <w:rsid w:val="007B5BB2"/>
    <w:rsid w:val="007C212B"/>
    <w:rsid w:val="007C2EAB"/>
    <w:rsid w:val="007C5B1C"/>
    <w:rsid w:val="007C7460"/>
    <w:rsid w:val="007D1CAA"/>
    <w:rsid w:val="007D66ED"/>
    <w:rsid w:val="007E42AC"/>
    <w:rsid w:val="007E666E"/>
    <w:rsid w:val="00802D64"/>
    <w:rsid w:val="0080361B"/>
    <w:rsid w:val="0080388E"/>
    <w:rsid w:val="0080429C"/>
    <w:rsid w:val="00804418"/>
    <w:rsid w:val="00810F16"/>
    <w:rsid w:val="008117EF"/>
    <w:rsid w:val="00813A28"/>
    <w:rsid w:val="0081464B"/>
    <w:rsid w:val="008153CE"/>
    <w:rsid w:val="00815F23"/>
    <w:rsid w:val="00820A2A"/>
    <w:rsid w:val="00821114"/>
    <w:rsid w:val="00833104"/>
    <w:rsid w:val="00835D85"/>
    <w:rsid w:val="00835FF0"/>
    <w:rsid w:val="00843567"/>
    <w:rsid w:val="00844EA7"/>
    <w:rsid w:val="00845883"/>
    <w:rsid w:val="00846E3E"/>
    <w:rsid w:val="00856976"/>
    <w:rsid w:val="008578D1"/>
    <w:rsid w:val="008607BF"/>
    <w:rsid w:val="008630E6"/>
    <w:rsid w:val="00863EE5"/>
    <w:rsid w:val="0087622E"/>
    <w:rsid w:val="0089023F"/>
    <w:rsid w:val="008903B0"/>
    <w:rsid w:val="00895EC0"/>
    <w:rsid w:val="008A3958"/>
    <w:rsid w:val="008A4E72"/>
    <w:rsid w:val="008A5530"/>
    <w:rsid w:val="008A55E0"/>
    <w:rsid w:val="008A6622"/>
    <w:rsid w:val="008A7EDD"/>
    <w:rsid w:val="008C2835"/>
    <w:rsid w:val="008C4B75"/>
    <w:rsid w:val="008C6D7D"/>
    <w:rsid w:val="008D2C81"/>
    <w:rsid w:val="008D3A40"/>
    <w:rsid w:val="008E35E5"/>
    <w:rsid w:val="008E38AD"/>
    <w:rsid w:val="008E441D"/>
    <w:rsid w:val="008E5BAD"/>
    <w:rsid w:val="008E6D55"/>
    <w:rsid w:val="008F6CAE"/>
    <w:rsid w:val="00902EBB"/>
    <w:rsid w:val="00905277"/>
    <w:rsid w:val="00910DB2"/>
    <w:rsid w:val="0091111A"/>
    <w:rsid w:val="00914BF5"/>
    <w:rsid w:val="00916311"/>
    <w:rsid w:val="009228FB"/>
    <w:rsid w:val="00935C9E"/>
    <w:rsid w:val="00940FF3"/>
    <w:rsid w:val="0095137E"/>
    <w:rsid w:val="009519B3"/>
    <w:rsid w:val="00952590"/>
    <w:rsid w:val="00955508"/>
    <w:rsid w:val="00961AD2"/>
    <w:rsid w:val="00962551"/>
    <w:rsid w:val="009626CA"/>
    <w:rsid w:val="0096290F"/>
    <w:rsid w:val="00963098"/>
    <w:rsid w:val="00963A28"/>
    <w:rsid w:val="00965AAA"/>
    <w:rsid w:val="00966E5B"/>
    <w:rsid w:val="00967DAC"/>
    <w:rsid w:val="00977C6F"/>
    <w:rsid w:val="00981FE4"/>
    <w:rsid w:val="00996E66"/>
    <w:rsid w:val="009A1940"/>
    <w:rsid w:val="009A7791"/>
    <w:rsid w:val="009B72E9"/>
    <w:rsid w:val="009C337E"/>
    <w:rsid w:val="009C53FD"/>
    <w:rsid w:val="009C648C"/>
    <w:rsid w:val="009C6690"/>
    <w:rsid w:val="009C697E"/>
    <w:rsid w:val="009C7473"/>
    <w:rsid w:val="009C78E7"/>
    <w:rsid w:val="009D01DB"/>
    <w:rsid w:val="009D2EAC"/>
    <w:rsid w:val="009D41EF"/>
    <w:rsid w:val="009D44D2"/>
    <w:rsid w:val="009D4892"/>
    <w:rsid w:val="009D54B4"/>
    <w:rsid w:val="009D6A21"/>
    <w:rsid w:val="009E06FA"/>
    <w:rsid w:val="009E0F39"/>
    <w:rsid w:val="009E1061"/>
    <w:rsid w:val="009E148C"/>
    <w:rsid w:val="009E1FE3"/>
    <w:rsid w:val="009E26A8"/>
    <w:rsid w:val="009E2ACC"/>
    <w:rsid w:val="009E2DD8"/>
    <w:rsid w:val="009E361E"/>
    <w:rsid w:val="009E376F"/>
    <w:rsid w:val="009E5E97"/>
    <w:rsid w:val="009E6348"/>
    <w:rsid w:val="009E6CEE"/>
    <w:rsid w:val="009E6DF4"/>
    <w:rsid w:val="009F0469"/>
    <w:rsid w:val="009F79BB"/>
    <w:rsid w:val="009F7A7C"/>
    <w:rsid w:val="00A03506"/>
    <w:rsid w:val="00A12DE2"/>
    <w:rsid w:val="00A159E8"/>
    <w:rsid w:val="00A16941"/>
    <w:rsid w:val="00A20372"/>
    <w:rsid w:val="00A21368"/>
    <w:rsid w:val="00A24549"/>
    <w:rsid w:val="00A26784"/>
    <w:rsid w:val="00A307DD"/>
    <w:rsid w:val="00A33D31"/>
    <w:rsid w:val="00A33E1A"/>
    <w:rsid w:val="00A35CB5"/>
    <w:rsid w:val="00A3655F"/>
    <w:rsid w:val="00A42AFE"/>
    <w:rsid w:val="00A456EA"/>
    <w:rsid w:val="00A573E4"/>
    <w:rsid w:val="00A61AB8"/>
    <w:rsid w:val="00A643A9"/>
    <w:rsid w:val="00A65634"/>
    <w:rsid w:val="00A710F9"/>
    <w:rsid w:val="00A770D4"/>
    <w:rsid w:val="00A77255"/>
    <w:rsid w:val="00A847F6"/>
    <w:rsid w:val="00A87D26"/>
    <w:rsid w:val="00A922BE"/>
    <w:rsid w:val="00A9455A"/>
    <w:rsid w:val="00A9465B"/>
    <w:rsid w:val="00A94D76"/>
    <w:rsid w:val="00AA2DE5"/>
    <w:rsid w:val="00AA554C"/>
    <w:rsid w:val="00AA71C5"/>
    <w:rsid w:val="00AB181E"/>
    <w:rsid w:val="00AB49DA"/>
    <w:rsid w:val="00AC2DEC"/>
    <w:rsid w:val="00AC3195"/>
    <w:rsid w:val="00AC62F7"/>
    <w:rsid w:val="00AD0D7B"/>
    <w:rsid w:val="00AD0F12"/>
    <w:rsid w:val="00AD14C0"/>
    <w:rsid w:val="00AD74B1"/>
    <w:rsid w:val="00AE0835"/>
    <w:rsid w:val="00AE304E"/>
    <w:rsid w:val="00AE3216"/>
    <w:rsid w:val="00AE5F84"/>
    <w:rsid w:val="00AE6111"/>
    <w:rsid w:val="00AE68F6"/>
    <w:rsid w:val="00AF4CDB"/>
    <w:rsid w:val="00AF610F"/>
    <w:rsid w:val="00B038C1"/>
    <w:rsid w:val="00B0573E"/>
    <w:rsid w:val="00B07EB0"/>
    <w:rsid w:val="00B11625"/>
    <w:rsid w:val="00B14599"/>
    <w:rsid w:val="00B223DB"/>
    <w:rsid w:val="00B231A8"/>
    <w:rsid w:val="00B26394"/>
    <w:rsid w:val="00B31455"/>
    <w:rsid w:val="00B32243"/>
    <w:rsid w:val="00B332BC"/>
    <w:rsid w:val="00B335C0"/>
    <w:rsid w:val="00B40D1D"/>
    <w:rsid w:val="00B41CD4"/>
    <w:rsid w:val="00B4288B"/>
    <w:rsid w:val="00B53B70"/>
    <w:rsid w:val="00B547B1"/>
    <w:rsid w:val="00B54D2A"/>
    <w:rsid w:val="00B56643"/>
    <w:rsid w:val="00B64125"/>
    <w:rsid w:val="00B65716"/>
    <w:rsid w:val="00B6580A"/>
    <w:rsid w:val="00B706FA"/>
    <w:rsid w:val="00B71583"/>
    <w:rsid w:val="00B75112"/>
    <w:rsid w:val="00B7552E"/>
    <w:rsid w:val="00B763CF"/>
    <w:rsid w:val="00B81EC1"/>
    <w:rsid w:val="00B862DB"/>
    <w:rsid w:val="00B95134"/>
    <w:rsid w:val="00B96612"/>
    <w:rsid w:val="00B9692B"/>
    <w:rsid w:val="00BA0651"/>
    <w:rsid w:val="00BA75B2"/>
    <w:rsid w:val="00BA7F1B"/>
    <w:rsid w:val="00BB1AD8"/>
    <w:rsid w:val="00BB22EE"/>
    <w:rsid w:val="00BB6B00"/>
    <w:rsid w:val="00BC0618"/>
    <w:rsid w:val="00BC1EAB"/>
    <w:rsid w:val="00BE008E"/>
    <w:rsid w:val="00BE0721"/>
    <w:rsid w:val="00BE48F3"/>
    <w:rsid w:val="00BE6B54"/>
    <w:rsid w:val="00BF04BA"/>
    <w:rsid w:val="00BF38CA"/>
    <w:rsid w:val="00BF5937"/>
    <w:rsid w:val="00C11ACA"/>
    <w:rsid w:val="00C13F00"/>
    <w:rsid w:val="00C154FC"/>
    <w:rsid w:val="00C23961"/>
    <w:rsid w:val="00C24A72"/>
    <w:rsid w:val="00C251A6"/>
    <w:rsid w:val="00C270E0"/>
    <w:rsid w:val="00C301CC"/>
    <w:rsid w:val="00C32436"/>
    <w:rsid w:val="00C33DA2"/>
    <w:rsid w:val="00C3443D"/>
    <w:rsid w:val="00C4735A"/>
    <w:rsid w:val="00C50D6C"/>
    <w:rsid w:val="00C5312A"/>
    <w:rsid w:val="00C53239"/>
    <w:rsid w:val="00C54ED8"/>
    <w:rsid w:val="00C635D3"/>
    <w:rsid w:val="00C70154"/>
    <w:rsid w:val="00C77883"/>
    <w:rsid w:val="00C81B6D"/>
    <w:rsid w:val="00C827A5"/>
    <w:rsid w:val="00C87E77"/>
    <w:rsid w:val="00C92A6F"/>
    <w:rsid w:val="00CA20D8"/>
    <w:rsid w:val="00CA4200"/>
    <w:rsid w:val="00CA4C5F"/>
    <w:rsid w:val="00CA5528"/>
    <w:rsid w:val="00CA7151"/>
    <w:rsid w:val="00CB0EB0"/>
    <w:rsid w:val="00CB1520"/>
    <w:rsid w:val="00CB39F6"/>
    <w:rsid w:val="00CB558E"/>
    <w:rsid w:val="00CB63E9"/>
    <w:rsid w:val="00CC5D87"/>
    <w:rsid w:val="00CD336F"/>
    <w:rsid w:val="00CE0755"/>
    <w:rsid w:val="00CE615C"/>
    <w:rsid w:val="00CF079F"/>
    <w:rsid w:val="00CF7E2B"/>
    <w:rsid w:val="00D140C9"/>
    <w:rsid w:val="00D23CF6"/>
    <w:rsid w:val="00D26F30"/>
    <w:rsid w:val="00D3020C"/>
    <w:rsid w:val="00D32202"/>
    <w:rsid w:val="00D35A97"/>
    <w:rsid w:val="00D40758"/>
    <w:rsid w:val="00D40B6B"/>
    <w:rsid w:val="00D40F85"/>
    <w:rsid w:val="00D42989"/>
    <w:rsid w:val="00D624E1"/>
    <w:rsid w:val="00D66B34"/>
    <w:rsid w:val="00D70E48"/>
    <w:rsid w:val="00D71AC3"/>
    <w:rsid w:val="00D736FA"/>
    <w:rsid w:val="00D76B02"/>
    <w:rsid w:val="00D77D09"/>
    <w:rsid w:val="00D84FF0"/>
    <w:rsid w:val="00D945DC"/>
    <w:rsid w:val="00DA0AEE"/>
    <w:rsid w:val="00DA21C3"/>
    <w:rsid w:val="00DA5BA0"/>
    <w:rsid w:val="00DB0F69"/>
    <w:rsid w:val="00DB2330"/>
    <w:rsid w:val="00DB2747"/>
    <w:rsid w:val="00DC0033"/>
    <w:rsid w:val="00DC10C6"/>
    <w:rsid w:val="00DC3978"/>
    <w:rsid w:val="00DC6A44"/>
    <w:rsid w:val="00DD4969"/>
    <w:rsid w:val="00DE4179"/>
    <w:rsid w:val="00DE6378"/>
    <w:rsid w:val="00DE7BE7"/>
    <w:rsid w:val="00DF08D7"/>
    <w:rsid w:val="00DF2423"/>
    <w:rsid w:val="00DF5F26"/>
    <w:rsid w:val="00DF7901"/>
    <w:rsid w:val="00E0526B"/>
    <w:rsid w:val="00E10E56"/>
    <w:rsid w:val="00E1243C"/>
    <w:rsid w:val="00E15FA9"/>
    <w:rsid w:val="00E1676E"/>
    <w:rsid w:val="00E20A0F"/>
    <w:rsid w:val="00E2124A"/>
    <w:rsid w:val="00E26C03"/>
    <w:rsid w:val="00E27C99"/>
    <w:rsid w:val="00E27D00"/>
    <w:rsid w:val="00E3284C"/>
    <w:rsid w:val="00E33B49"/>
    <w:rsid w:val="00E4191C"/>
    <w:rsid w:val="00E51B64"/>
    <w:rsid w:val="00E57F90"/>
    <w:rsid w:val="00E607A5"/>
    <w:rsid w:val="00E64755"/>
    <w:rsid w:val="00E65C3D"/>
    <w:rsid w:val="00E80035"/>
    <w:rsid w:val="00E80C69"/>
    <w:rsid w:val="00E815BE"/>
    <w:rsid w:val="00E83C59"/>
    <w:rsid w:val="00E902F1"/>
    <w:rsid w:val="00E90465"/>
    <w:rsid w:val="00E91EC8"/>
    <w:rsid w:val="00E925CB"/>
    <w:rsid w:val="00E94D7A"/>
    <w:rsid w:val="00E952C7"/>
    <w:rsid w:val="00E96373"/>
    <w:rsid w:val="00E977F1"/>
    <w:rsid w:val="00EA06C3"/>
    <w:rsid w:val="00EA3D16"/>
    <w:rsid w:val="00EA6E4B"/>
    <w:rsid w:val="00EB4885"/>
    <w:rsid w:val="00EB6CC9"/>
    <w:rsid w:val="00EC1CC0"/>
    <w:rsid w:val="00EC528F"/>
    <w:rsid w:val="00EC5EC7"/>
    <w:rsid w:val="00EC6CF8"/>
    <w:rsid w:val="00ED663C"/>
    <w:rsid w:val="00ED6A8E"/>
    <w:rsid w:val="00EE171F"/>
    <w:rsid w:val="00EE3C80"/>
    <w:rsid w:val="00EE4F37"/>
    <w:rsid w:val="00EE6667"/>
    <w:rsid w:val="00EF58AB"/>
    <w:rsid w:val="00EF59D2"/>
    <w:rsid w:val="00EF710A"/>
    <w:rsid w:val="00F0027F"/>
    <w:rsid w:val="00F02687"/>
    <w:rsid w:val="00F03FA8"/>
    <w:rsid w:val="00F04EA3"/>
    <w:rsid w:val="00F13D0B"/>
    <w:rsid w:val="00F14EF4"/>
    <w:rsid w:val="00F170C4"/>
    <w:rsid w:val="00F21852"/>
    <w:rsid w:val="00F22257"/>
    <w:rsid w:val="00F249C7"/>
    <w:rsid w:val="00F26037"/>
    <w:rsid w:val="00F340E0"/>
    <w:rsid w:val="00F373C9"/>
    <w:rsid w:val="00F4133A"/>
    <w:rsid w:val="00F41652"/>
    <w:rsid w:val="00F45AE9"/>
    <w:rsid w:val="00F47081"/>
    <w:rsid w:val="00F53CE2"/>
    <w:rsid w:val="00F73D5E"/>
    <w:rsid w:val="00F771D6"/>
    <w:rsid w:val="00F8167E"/>
    <w:rsid w:val="00F8213C"/>
    <w:rsid w:val="00F840A8"/>
    <w:rsid w:val="00F8417C"/>
    <w:rsid w:val="00F864D0"/>
    <w:rsid w:val="00F92D04"/>
    <w:rsid w:val="00F94B32"/>
    <w:rsid w:val="00F94CDB"/>
    <w:rsid w:val="00F95C0E"/>
    <w:rsid w:val="00FB48F1"/>
    <w:rsid w:val="00FB576D"/>
    <w:rsid w:val="00FB602A"/>
    <w:rsid w:val="00FB66B0"/>
    <w:rsid w:val="00FB6CB1"/>
    <w:rsid w:val="00FC23F8"/>
    <w:rsid w:val="00FD1B8D"/>
    <w:rsid w:val="00FD4CC8"/>
    <w:rsid w:val="00FE59BE"/>
    <w:rsid w:val="00FF2C26"/>
    <w:rsid w:val="00FF51E1"/>
    <w:rsid w:val="00FF7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E536A"/>
  <w15:docId w15:val="{BE651B94-8BA4-45CF-AE62-37AA11A5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A2A"/>
    <w:pPr>
      <w:widowControl w:val="0"/>
    </w:pPr>
    <w:rPr>
      <w:rFonts w:ascii="Times New Roman" w:eastAsia="新細明體"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A2A"/>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820A2A"/>
    <w:rPr>
      <w:sz w:val="20"/>
      <w:szCs w:val="20"/>
    </w:rPr>
  </w:style>
  <w:style w:type="paragraph" w:styleId="a5">
    <w:name w:val="footer"/>
    <w:basedOn w:val="a"/>
    <w:link w:val="a6"/>
    <w:uiPriority w:val="99"/>
    <w:unhideWhenUsed/>
    <w:rsid w:val="00820A2A"/>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820A2A"/>
    <w:rPr>
      <w:sz w:val="20"/>
      <w:szCs w:val="20"/>
    </w:rPr>
  </w:style>
  <w:style w:type="paragraph" w:styleId="a7">
    <w:name w:val="List Paragraph"/>
    <w:basedOn w:val="a"/>
    <w:uiPriority w:val="34"/>
    <w:qFormat/>
    <w:rsid w:val="00940FF3"/>
    <w:pPr>
      <w:ind w:leftChars="200" w:left="480"/>
    </w:pPr>
  </w:style>
  <w:style w:type="paragraph" w:styleId="a8">
    <w:name w:val="Balloon Text"/>
    <w:basedOn w:val="a"/>
    <w:link w:val="a9"/>
    <w:uiPriority w:val="99"/>
    <w:semiHidden/>
    <w:unhideWhenUsed/>
    <w:rsid w:val="00F53CE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53CE2"/>
    <w:rPr>
      <w:rFonts w:asciiTheme="majorHAnsi" w:eastAsiaTheme="majorEastAsia" w:hAnsiTheme="majorHAnsi" w:cstheme="majorBidi"/>
      <w:sz w:val="18"/>
      <w:szCs w:val="18"/>
    </w:rPr>
  </w:style>
  <w:style w:type="paragraph" w:customStyle="1" w:styleId="aa">
    <w:name w:val="第一條"/>
    <w:basedOn w:val="a"/>
    <w:uiPriority w:val="99"/>
    <w:rsid w:val="00DA0AEE"/>
    <w:pPr>
      <w:spacing w:line="340" w:lineRule="exact"/>
      <w:ind w:left="454" w:hanging="454"/>
      <w:jc w:val="both"/>
    </w:pPr>
    <w:rPr>
      <w:rFonts w:eastAsia="標楷體"/>
      <w:sz w:val="22"/>
    </w:rPr>
  </w:style>
  <w:style w:type="paragraph" w:customStyle="1" w:styleId="ab">
    <w:name w:val="一、"/>
    <w:basedOn w:val="a"/>
    <w:uiPriority w:val="99"/>
    <w:rsid w:val="007805B5"/>
    <w:pPr>
      <w:spacing w:after="120" w:line="300" w:lineRule="auto"/>
      <w:ind w:left="482" w:hanging="482"/>
      <w:jc w:val="both"/>
    </w:pPr>
    <w:rPr>
      <w:rFonts w:eastAsia="華康中黑體"/>
      <w:b/>
      <w:spacing w:val="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3B55-6489-4EF9-8219-0BC37766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張健鋒</dc:creator>
  <cp:lastModifiedBy>admin</cp:lastModifiedBy>
  <cp:revision>3</cp:revision>
  <cp:lastPrinted>2026-03-02T06:14:00Z</cp:lastPrinted>
  <dcterms:created xsi:type="dcterms:W3CDTF">2026-03-02T06:16:00Z</dcterms:created>
  <dcterms:modified xsi:type="dcterms:W3CDTF">2026-03-02T06:16:00Z</dcterms:modified>
</cp:coreProperties>
</file>